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sankofa-fragmentos-da-áfrica"/>
    <w:p>
      <w:pPr>
        <w:pStyle w:val="Heading1"/>
      </w:pPr>
      <w:r>
        <w:t xml:space="preserve">Sankofa — Fragmentos da África</w:t>
      </w:r>
    </w:p>
    <w:p>
      <w:pPr>
        <w:pStyle w:val="FirstParagraph"/>
      </w:pPr>
      <w:r>
        <w:t xml:space="preserve">Jogo digital educativo de enigmas sobre a</w:t>
      </w:r>
      <w:r>
        <w:t xml:space="preserve"> </w:t>
      </w:r>
      <w:r>
        <w:rPr>
          <w:bCs/>
          <w:b/>
        </w:rPr>
        <w:t xml:space="preserve">História Geral da África</w:t>
      </w:r>
      <w:r>
        <w:t xml:space="preserve"> </w:t>
      </w:r>
      <w:r>
        <w:t xml:space="preserve">(HGA, UNESCO).</w:t>
      </w:r>
      <w:r>
        <w:t xml:space="preserve"> </w:t>
      </w:r>
      <w:r>
        <w:t xml:space="preserve">Recupere fragmentos de memória histórica resolvendo desafios curtos, com pistas</w:t>
      </w:r>
      <w:r>
        <w:t xml:space="preserve"> </w:t>
      </w:r>
      <w:r>
        <w:t xml:space="preserve">progressivas, mosaicos visuais e sonoridade africana sintetizada.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Se quã wo werε fi na wo sankofa a yenkyi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Não é errado voltar e buscar o que ficou.</w:t>
      </w:r>
    </w:p>
    <w:bookmarkStart w:id="20" w:name="como-abrir"/>
    <w:p>
      <w:pPr>
        <w:pStyle w:val="Heading2"/>
      </w:pPr>
      <w:r>
        <w:t xml:space="preserve">Como abrir</w:t>
      </w:r>
    </w:p>
    <w:p>
      <w:pPr>
        <w:pStyle w:val="FirstParagraph"/>
      </w:pPr>
      <w:r>
        <w:t xml:space="preserve">Abra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no navegador. Sem instalação, sem servidor, sem banco de dados.</w:t>
      </w:r>
      <w:r>
        <w:t xml:space="preserve"> </w:t>
      </w:r>
      <w:r>
        <w:t xml:space="preserve">O progresso fica salvo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</w:p>
    <w:bookmarkEnd w:id="20"/>
    <w:bookmarkStart w:id="21" w:name="estado-atual-mvp-mundo-1"/>
    <w:p>
      <w:pPr>
        <w:pStyle w:val="Heading2"/>
      </w:pPr>
      <w:r>
        <w:t xml:space="preserve">Estado atual (MVP — Mundo 1)</w:t>
      </w:r>
    </w:p>
    <w:p>
      <w:pPr>
        <w:numPr>
          <w:ilvl w:val="0"/>
          <w:numId w:val="1001"/>
        </w:numPr>
        <w:pStyle w:val="Compact"/>
      </w:pPr>
      <w:r>
        <w:t xml:space="preserve">Fluxo completo: landing → registro → mapa de mundos → mundo → enigma → resultado → mosaico → perfil → conquistas → desafio diário.</w:t>
      </w:r>
    </w:p>
    <w:p>
      <w:pPr>
        <w:numPr>
          <w:ilvl w:val="0"/>
          <w:numId w:val="1001"/>
        </w:numPr>
        <w:pStyle w:val="Compact"/>
      </w:pPr>
      <w:r>
        <w:t xml:space="preserve">5 enigmas jogáveis baseados no Volume I da HGA.</w:t>
      </w:r>
    </w:p>
    <w:p>
      <w:pPr>
        <w:numPr>
          <w:ilvl w:val="0"/>
          <w:numId w:val="1001"/>
        </w:numPr>
        <w:pStyle w:val="Compact"/>
      </w:pPr>
      <w:r>
        <w:t xml:space="preserve">3 dicas progressivas por enigma (com custo em pontos).</w:t>
      </w:r>
    </w:p>
    <w:p>
      <w:pPr>
        <w:numPr>
          <w:ilvl w:val="0"/>
          <w:numId w:val="1001"/>
        </w:numPr>
        <w:pStyle w:val="Compact"/>
      </w:pPr>
      <w:r>
        <w:t xml:space="preserve">10 níveis (Aprendiz → Herdeiro de Sankofa) e 10 conquistas.</w:t>
      </w:r>
    </w:p>
    <w:p>
      <w:pPr>
        <w:numPr>
          <w:ilvl w:val="0"/>
          <w:numId w:val="1001"/>
        </w:numPr>
        <w:pStyle w:val="Compact"/>
      </w:pPr>
      <w:r>
        <w:t xml:space="preserve">Mosaico de fragmentos com gradientes próprios.</w:t>
      </w:r>
    </w:p>
    <w:p>
      <w:pPr>
        <w:numPr>
          <w:ilvl w:val="0"/>
          <w:numId w:val="1001"/>
        </w:numPr>
        <w:pStyle w:val="Compact"/>
      </w:pPr>
      <w:r>
        <w:t xml:space="preserve">Persistência local com migração automática de chaves antigas.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Áudio sintetizado de instrumentos africanos</w:t>
      </w:r>
      <w:r>
        <w:t xml:space="preserve"> </w:t>
      </w:r>
      <w:r>
        <w:t xml:space="preserve">(djembe, dùndún, kalimba, balafon, agogô, shaker) via Web Audio API. Toggle global 🔊 e tambor ambiente 🥁.</w:t>
      </w:r>
    </w:p>
    <w:p>
      <w:pPr>
        <w:numPr>
          <w:ilvl w:val="0"/>
          <w:numId w:val="1001"/>
        </w:numPr>
        <w:pStyle w:val="Compact"/>
      </w:pPr>
      <w:r>
        <w:t xml:space="preserve">8 capas de mundo (PNG) integradas nos cartões e na tela do mundo.</w:t>
      </w:r>
    </w:p>
    <w:bookmarkEnd w:id="21"/>
    <w:bookmarkStart w:id="22" w:name="estrutura"/>
    <w:p>
      <w:pPr>
        <w:pStyle w:val="Heading2"/>
      </w:pPr>
      <w:r>
        <w:t xml:space="preserve">Estrutura</w:t>
      </w:r>
    </w:p>
    <w:p>
      <w:pPr>
        <w:pStyle w:val="SourceCode"/>
      </w:pPr>
      <w:r>
        <w:rPr>
          <w:rStyle w:val="VerbatimChar"/>
        </w:rPr>
        <w:t xml:space="preserve">sankofa/</w:t>
      </w:r>
      <w:r>
        <w:br/>
      </w:r>
      <w:r>
        <w:rPr>
          <w:rStyle w:val="VerbatimChar"/>
        </w:rPr>
        <w:t xml:space="preserve">├── index.html              # entrada</w:t>
      </w:r>
      <w:r>
        <w:br/>
      </w:r>
      <w:r>
        <w:rPr>
          <w:rStyle w:val="VerbatimChar"/>
        </w:rPr>
        <w:t xml:space="preserve">├── styles.css              # tema escuro ouro/terra/verde/índigo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app.js              # state machine de telas, lógica de enigma, conquistas</w:t>
      </w:r>
      <w:r>
        <w:br/>
      </w:r>
      <w:r>
        <w:rPr>
          <w:rStyle w:val="VerbatimChar"/>
        </w:rPr>
        <w:t xml:space="preserve">│   └── audio.js            # motor de instrumentos africanos (Web Audio API)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worlds.js           # 8 mundos da HGA</w:t>
      </w:r>
      <w:r>
        <w:br/>
      </w:r>
      <w:r>
        <w:rPr>
          <w:rStyle w:val="VerbatimChar"/>
        </w:rPr>
        <w:t xml:space="preserve">│   ├── enigmas.js          # enigmas (Mundo 1 = 5 entradas)</w:t>
      </w:r>
      <w:r>
        <w:br/>
      </w:r>
      <w:r>
        <w:rPr>
          <w:rStyle w:val="VerbatimChar"/>
        </w:rPr>
        <w:t xml:space="preserve">│   ├── levels.js           # 10 níveis</w:t>
      </w:r>
      <w:r>
        <w:br/>
      </w:r>
      <w:r>
        <w:rPr>
          <w:rStyle w:val="VerbatimChar"/>
        </w:rPr>
        <w:t xml:space="preserve">│   └── achievements.js     # 10 conquistas</w:t>
      </w:r>
      <w:r>
        <w:br/>
      </w:r>
      <w:r>
        <w:rPr>
          <w:rStyle w:val="VerbatimChar"/>
        </w:rPr>
        <w:t xml:space="preserve">├── assets/</w:t>
      </w:r>
      <w:r>
        <w:br/>
      </w:r>
      <w:r>
        <w:rPr>
          <w:rStyle w:val="VerbatimChar"/>
        </w:rPr>
        <w:t xml:space="preserve">│   ├── logo.png · favicon.png</w:t>
      </w:r>
      <w:r>
        <w:br/>
      </w:r>
      <w:r>
        <w:rPr>
          <w:rStyle w:val="VerbatimChar"/>
        </w:rPr>
        <w:t xml:space="preserve">│   └── world-1..8-*.png    # capas dos 8 mundos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CONCEITO.md         # tese, problema, princípios</w:t>
      </w:r>
      <w:r>
        <w:br/>
      </w:r>
      <w:r>
        <w:rPr>
          <w:rStyle w:val="VerbatimChar"/>
        </w:rPr>
        <w:t xml:space="preserve">│   ├── ROADMAP.md          # fases 0–4</w:t>
      </w:r>
      <w:r>
        <w:br/>
      </w:r>
      <w:r>
        <w:rPr>
          <w:rStyle w:val="VerbatimChar"/>
        </w:rPr>
        <w:t xml:space="preserve">│   ├── AUDIO.md            # mapa instrumento ↔ evento</w:t>
      </w:r>
      <w:r>
        <w:br/>
      </w:r>
      <w:r>
        <w:rPr>
          <w:rStyle w:val="VerbatimChar"/>
        </w:rPr>
        <w:t xml:space="preserve">│   └── raw/                # material original arquivado</w:t>
      </w:r>
      <w:r>
        <w:br/>
      </w:r>
      <w:r>
        <w:rPr>
          <w:rStyle w:val="VerbatimChar"/>
        </w:rPr>
        <w:t xml:space="preserve">└── .claude/</w:t>
      </w:r>
      <w:r>
        <w:br/>
      </w:r>
      <w:r>
        <w:rPr>
          <w:rStyle w:val="VerbatimChar"/>
        </w:rPr>
        <w:t xml:space="preserve">    └── skills/             # sankofa-add-enigma, -add-world, -tune-audio</w:t>
      </w:r>
    </w:p>
    <w:bookmarkEnd w:id="22"/>
    <w:bookmarkStart w:id="23" w:name="skills-disponíveis"/>
    <w:p>
      <w:pPr>
        <w:pStyle w:val="Heading2"/>
      </w:pPr>
      <w:r>
        <w:t xml:space="preserve">Skills disponíveis</w:t>
      </w:r>
    </w:p>
    <w:p>
      <w:pPr>
        <w:pStyle w:val="FirstParagraph"/>
      </w:pPr>
      <w:r>
        <w:t xml:space="preserve">Quando trabalhar neste repo no Claude Code, três skills facilitam edições recorrentes: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sankofa-add-enigma</w:t>
      </w:r>
      <w:r>
        <w:t xml:space="preserve"> </w:t>
      </w:r>
      <w:r>
        <w:t xml:space="preserve">— scaffold validado de novo enigma com fonte HGA.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sankofa-add-world</w:t>
      </w:r>
      <w:r>
        <w:t xml:space="preserve"> </w:t>
      </w:r>
      <w:r>
        <w:t xml:space="preserve">— destravar/adicionar mundo com arte e conquista de conclusão.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sankofa-tune-audio</w:t>
      </w:r>
      <w:r>
        <w:t xml:space="preserve"> </w:t>
      </w:r>
      <w:r>
        <w:t xml:space="preserve">— ajustar timbre, decay, eventos e tambor ambiente.</w:t>
      </w:r>
    </w:p>
    <w:p>
      <w:pPr>
        <w:pStyle w:val="FirstParagraph"/>
      </w:pPr>
      <w:r>
        <w:t xml:space="preserve">Detalhes em</w:t>
      </w:r>
      <w:r>
        <w:t xml:space="preserve"> </w:t>
      </w:r>
      <w:r>
        <w:rPr>
          <w:rStyle w:val="VerbatimChar"/>
        </w:rPr>
        <w:t xml:space="preserve">.claude/skills/README.md</w:t>
      </w:r>
      <w:r>
        <w:t xml:space="preserve">.</w:t>
      </w:r>
    </w:p>
    <w:bookmarkEnd w:id="23"/>
    <w:bookmarkStart w:id="24" w:name="documentação-completa-em-word"/>
    <w:p>
      <w:pPr>
        <w:pStyle w:val="Heading2"/>
      </w:pPr>
      <w:r>
        <w:t xml:space="preserve">Documentação completa em Word</w:t>
      </w:r>
    </w:p>
    <w:p>
      <w:pPr>
        <w:pStyle w:val="FirstParagraph"/>
      </w:pPr>
      <w:r>
        <w:t xml:space="preserve">Todos os docs reunidos num único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editável:</w:t>
      </w:r>
    </w:p>
    <w:p>
      <w:pPr>
        <w:pStyle w:val="SourceCode"/>
      </w:pPr>
      <w:r>
        <w:rPr>
          <w:rStyle w:val="VerbatimChar"/>
        </w:rPr>
        <w:t xml:space="preserve">docs/Sankofa-Documentacao-Completa.docx</w:t>
      </w:r>
    </w:p>
    <w:p>
      <w:pPr>
        <w:pStyle w:val="FirstParagraph"/>
      </w:pPr>
      <w:r>
        <w:t xml:space="preserve">Para regenerar (precisa pandoc 2.0+):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scripts/build-docx.sh</w:t>
      </w:r>
    </w:p>
    <w:p>
      <w:pPr>
        <w:pStyle w:val="FirstParagraph"/>
      </w:pPr>
      <w:r>
        <w:t xml:space="preserve">Inclui: README, Conceito, Roadmap, Áudio, Liga, Monetização, Pitch Deck, Cartas, One-Pager.</w:t>
      </w:r>
    </w:p>
    <w:bookmarkEnd w:id="24"/>
    <w:bookmarkStart w:id="28" w:name="deploy-vercel"/>
    <w:p>
      <w:pPr>
        <w:pStyle w:val="Heading2"/>
      </w:pPr>
      <w:r>
        <w:t xml:space="preserve">Deploy (Vercel)</w:t>
      </w:r>
    </w:p>
    <w:p>
      <w:pPr>
        <w:pStyle w:val="FirstParagraph"/>
      </w:pPr>
      <w:r>
        <w:t xml:space="preserve">Site é estático puro — sem build step, sem dependências.</w:t>
      </w:r>
    </w:p>
    <w:bookmarkStart w:id="25" w:name="ª-vez-cli"/>
    <w:p>
      <w:pPr>
        <w:pStyle w:val="Heading3"/>
      </w:pPr>
      <w:r>
        <w:t xml:space="preserve">1ª vez (CLI)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vercel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sankofa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preview</w:t>
      </w:r>
      <w:r>
        <w:br/>
      </w:r>
      <w:r>
        <w:rPr>
          <w:rStyle w:val="ExtensionTok"/>
        </w:rPr>
        <w:t xml:space="preserve">vercel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--prod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produção</w:t>
      </w:r>
    </w:p>
    <w:p>
      <w:pPr>
        <w:pStyle w:val="FirstParagraph"/>
      </w:pPr>
      <w:r>
        <w:t xml:space="preserve">Escolhe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como framework.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na raiz já configura cache e headers de segurança.</w:t>
      </w:r>
    </w:p>
    <w:bookmarkEnd w:id="25"/>
    <w:bookmarkStart w:id="26" w:name="auto-deploy-via-github"/>
    <w:p>
      <w:pPr>
        <w:pStyle w:val="Heading3"/>
      </w:pPr>
      <w:r>
        <w:t xml:space="preserve">Auto-deploy via GitHub</w:t>
      </w:r>
    </w:p>
    <w:p>
      <w:pPr>
        <w:numPr>
          <w:ilvl w:val="0"/>
          <w:numId w:val="1003"/>
        </w:numPr>
        <w:pStyle w:val="Compact"/>
      </w:pPr>
      <w:r>
        <w:t xml:space="preserve">Push pro GitHub</w:t>
      </w:r>
    </w:p>
    <w:p>
      <w:pPr>
        <w:numPr>
          <w:ilvl w:val="0"/>
          <w:numId w:val="1003"/>
        </w:numPr>
        <w:pStyle w:val="Compact"/>
      </w:pPr>
      <w:r>
        <w:t xml:space="preserve">https://vercel.com/new → importa repo</w:t>
      </w:r>
    </w:p>
    <w:p>
      <w:pPr>
        <w:numPr>
          <w:ilvl w:val="0"/>
          <w:numId w:val="1003"/>
        </w:numPr>
        <w:pStyle w:val="Compact"/>
      </w:pPr>
      <w:r>
        <w:t xml:space="preserve">Cada push em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deploy de produção; cada PR → preview URL</w:t>
      </w:r>
    </w:p>
    <w:bookmarkEnd w:id="26"/>
    <w:bookmarkStart w:id="27" w:name="liga-global-supabase-no-vercel"/>
    <w:p>
      <w:pPr>
        <w:pStyle w:val="Heading3"/>
      </w:pPr>
      <w:r>
        <w:t xml:space="preserve">Liga global (Supabase) no Vercel</w:t>
      </w:r>
    </w:p>
    <w:p>
      <w:pPr>
        <w:pStyle w:val="FirstParagraph"/>
      </w:pPr>
      <w:r>
        <w:t xml:space="preserve">Para ativar a Liga dos Griôs em produção sem expor chaves no repo: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Vercel → Project → Settings → Environment Variables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SUPABASE_URL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https://xxx.supabase.co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SUPABASE_ANON_KEY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eyJ...</w:t>
      </w:r>
      <w:r>
        <w:t xml:space="preserve"> </w:t>
      </w:r>
      <w:r>
        <w:t xml:space="preserve">(chave pública, RLS protege)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Settings → Build &amp; Development → Build Command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"window.SANKOFA_LEAGUE_CONFIG={url:'</w:t>
      </w:r>
      <w:r>
        <w:rPr>
          <w:rStyle w:val="VariableTok"/>
        </w:rPr>
        <w:t xml:space="preserve">$SUPABASE_URL</w:t>
      </w:r>
      <w:r>
        <w:rPr>
          <w:rStyle w:val="StringTok"/>
        </w:rPr>
        <w:t xml:space="preserve">',anonKey:'</w:t>
      </w:r>
      <w:r>
        <w:rPr>
          <w:rStyle w:val="VariableTok"/>
        </w:rPr>
        <w:t xml:space="preserve">$SUPABASE_ANON_KEY</w:t>
      </w:r>
      <w:r>
        <w:rPr>
          <w:rStyle w:val="StringTok"/>
        </w:rPr>
        <w:t xml:space="preserve">'};"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src/league-config.js</w:t>
      </w:r>
    </w:p>
    <w:p>
      <w:pPr>
        <w:numPr>
          <w:ilvl w:val="0"/>
          <w:numId w:val="1004"/>
        </w:numPr>
      </w:pPr>
      <w:r>
        <w:t xml:space="preserve">Re-deploy. Schema da tabela em</w:t>
      </w:r>
      <w:r>
        <w:t xml:space="preserve"> </w:t>
      </w:r>
      <w:r>
        <w:rPr>
          <w:rStyle w:val="VerbatimChar"/>
        </w:rPr>
        <w:t xml:space="preserve">docs/LIGA.md</w:t>
      </w:r>
      <w:r>
        <w:t xml:space="preserve">.</w:t>
      </w:r>
    </w:p>
    <w:p>
      <w:pPr>
        <w:pStyle w:val="FirstParagraph"/>
      </w:pPr>
      <w:r>
        <w:t xml:space="preserve">Localmente, copia</w:t>
      </w:r>
      <w:r>
        <w:t xml:space="preserve"> </w:t>
      </w:r>
      <w:r>
        <w:rPr>
          <w:rStyle w:val="VerbatimChar"/>
        </w:rPr>
        <w:t xml:space="preserve">src/league-config.example.js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src/league-config.js</w:t>
      </w:r>
      <w:r>
        <w:t xml:space="preserve"> </w:t>
      </w:r>
      <w:r>
        <w:t xml:space="preserve">e preenche. Ficheiro real está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bookmarkEnd w:id="27"/>
    <w:bookmarkEnd w:id="28"/>
    <w:bookmarkStart w:id="29" w:name="próximos-passos-recomendados"/>
    <w:p>
      <w:pPr>
        <w:pStyle w:val="Heading2"/>
      </w:pPr>
      <w:r>
        <w:t xml:space="preserve">Próximos passos recomendados</w:t>
      </w:r>
    </w:p>
    <w:p>
      <w:pPr>
        <w:numPr>
          <w:ilvl w:val="0"/>
          <w:numId w:val="1006"/>
        </w:numPr>
        <w:pStyle w:val="Compact"/>
      </w:pPr>
      <w:r>
        <w:t xml:space="preserve">Validar enigmas com especialista em HGA / educação básica.</w:t>
      </w:r>
    </w:p>
    <w:p>
      <w:pPr>
        <w:numPr>
          <w:ilvl w:val="0"/>
          <w:numId w:val="1006"/>
        </w:numPr>
        <w:pStyle w:val="Compact"/>
      </w:pPr>
      <w:r>
        <w:t xml:space="preserve">Acrescentar mais 10 enigmas para fechar o Mundo 1 com 15 desafios.</w:t>
      </w:r>
    </w:p>
    <w:p>
      <w:pPr>
        <w:numPr>
          <w:ilvl w:val="0"/>
          <w:numId w:val="1006"/>
        </w:numPr>
        <w:pStyle w:val="Compact"/>
      </w:pPr>
      <w:r>
        <w:t xml:space="preserve">Iniciar Mundo 2 (Reinos do Nilo, Volume II) com 8 enigmas piloto.</w:t>
      </w:r>
    </w:p>
    <w:p>
      <w:pPr>
        <w:numPr>
          <w:ilvl w:val="0"/>
          <w:numId w:val="1006"/>
        </w:numPr>
        <w:pStyle w:val="Compact"/>
      </w:pPr>
      <w:r>
        <w:t xml:space="preserve">Paleta sonora regional por mundo (kora no Sahel, ney no Nilo, etc.).</w:t>
      </w:r>
    </w:p>
    <w:p>
      <w:pPr>
        <w:numPr>
          <w:ilvl w:val="0"/>
          <w:numId w:val="1006"/>
        </w:numPr>
        <w:pStyle w:val="Compact"/>
      </w:pPr>
      <w:r>
        <w:t xml:space="preserve">Auditoria de acessibilidade (contraste AAA, foco visível, leitor de tela).</w:t>
      </w:r>
    </w:p>
    <w:p>
      <w:pPr>
        <w:numPr>
          <w:ilvl w:val="0"/>
          <w:numId w:val="1006"/>
        </w:numPr>
        <w:pStyle w:val="Compact"/>
      </w:pPr>
      <w:r>
        <w:t xml:space="preserve">Publicação online (GitHub Pages ou Vercel).</w:t>
      </w:r>
    </w:p>
    <w:bookmarkEnd w:id="29"/>
    <w:bookmarkStart w:id="30" w:name="licenças-planejadas"/>
    <w:p>
      <w:pPr>
        <w:pStyle w:val="Heading2"/>
      </w:pPr>
      <w:r>
        <w:t xml:space="preserve">Licenças planejadas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Código-fonte</w:t>
      </w:r>
      <w:r>
        <w:t xml:space="preserve">: MIT.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Conteúdo textual e dados educacionais</w:t>
      </w:r>
      <w:r>
        <w:t xml:space="preserve">: Creative Commons BY-SA 4.0.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Imagens, sons sintetizados e ilustrações</w:t>
      </w:r>
      <w:r>
        <w:t xml:space="preserve">: a definir conforme autoria; o motor de áudio é original e nasce livre.</w:t>
      </w:r>
    </w:p>
    <w:bookmarkEnd w:id="30"/>
    <w:bookmarkStart w:id="39" w:name="Xcef065e41ff9bf17e39f1a57d997e23a838e6b6"/>
    <w:p>
      <w:pPr>
        <w:pStyle w:val="Heading2"/>
      </w:pPr>
      <w:r>
        <w:t xml:space="preserve">Todos os volumes da História Geral da África</w:t>
      </w:r>
    </w:p>
    <w:p>
      <w:pPr>
        <w:numPr>
          <w:ilvl w:val="0"/>
          <w:numId w:val="1008"/>
        </w:numPr>
        <w:pStyle w:val="Compact"/>
      </w:pPr>
      <w:hyperlink r:id="rId31">
        <w:r>
          <w:rPr>
            <w:rStyle w:val="Hyperlink"/>
          </w:rPr>
          <w:t xml:space="preserve">Volume I – Metodologia e pré-história da África</w:t>
        </w:r>
      </w:hyperlink>
    </w:p>
    <w:p>
      <w:pPr>
        <w:numPr>
          <w:ilvl w:val="0"/>
          <w:numId w:val="1008"/>
        </w:numPr>
        <w:pStyle w:val="Compact"/>
      </w:pPr>
      <w:hyperlink r:id="rId32">
        <w:r>
          <w:rPr>
            <w:rStyle w:val="Hyperlink"/>
          </w:rPr>
          <w:t xml:space="preserve">Volume II – África antiga</w:t>
        </w:r>
      </w:hyperlink>
    </w:p>
    <w:p>
      <w:pPr>
        <w:numPr>
          <w:ilvl w:val="0"/>
          <w:numId w:val="1008"/>
        </w:numPr>
        <w:pStyle w:val="Compact"/>
      </w:pPr>
      <w:hyperlink r:id="rId33">
        <w:r>
          <w:rPr>
            <w:rStyle w:val="Hyperlink"/>
          </w:rPr>
          <w:t xml:space="preserve">Volume III – África medieval</w:t>
        </w:r>
      </w:hyperlink>
    </w:p>
    <w:p>
      <w:pPr>
        <w:numPr>
          <w:ilvl w:val="0"/>
          <w:numId w:val="1008"/>
        </w:numPr>
        <w:pStyle w:val="Compact"/>
      </w:pPr>
      <w:hyperlink r:id="rId34">
        <w:r>
          <w:rPr>
            <w:rStyle w:val="Hyperlink"/>
          </w:rPr>
          <w:t xml:space="preserve">Volume IV – África bloqueada</w:t>
        </w:r>
      </w:hyperlink>
    </w:p>
    <w:p>
      <w:pPr>
        <w:numPr>
          <w:ilvl w:val="0"/>
          <w:numId w:val="1008"/>
        </w:numPr>
        <w:pStyle w:val="Compact"/>
      </w:pPr>
      <w:hyperlink r:id="rId35">
        <w:r>
          <w:rPr>
            <w:rStyle w:val="Hyperlink"/>
          </w:rPr>
          <w:t xml:space="preserve">Volume V – África e diáspora</w:t>
        </w:r>
      </w:hyperlink>
    </w:p>
    <w:p>
      <w:pPr>
        <w:numPr>
          <w:ilvl w:val="0"/>
          <w:numId w:val="1008"/>
        </w:numPr>
        <w:pStyle w:val="Compact"/>
      </w:pPr>
      <w:hyperlink r:id="rId36">
        <w:r>
          <w:rPr>
            <w:rStyle w:val="Hyperlink"/>
          </w:rPr>
          <w:t xml:space="preserve">Volume VI – África contemporânea (1884-1935)</w:t>
        </w:r>
      </w:hyperlink>
    </w:p>
    <w:p>
      <w:pPr>
        <w:numPr>
          <w:ilvl w:val="0"/>
          <w:numId w:val="1008"/>
        </w:numPr>
        <w:pStyle w:val="Compact"/>
      </w:pPr>
      <w:hyperlink r:id="rId37">
        <w:r>
          <w:rPr>
            <w:rStyle w:val="Hyperlink"/>
          </w:rPr>
          <w:t xml:space="preserve">Volume VII – África contemporânea (1935-1975)</w:t>
        </w:r>
      </w:hyperlink>
    </w:p>
    <w:p>
      <w:pPr>
        <w:numPr>
          <w:ilvl w:val="0"/>
          <w:numId w:val="1008"/>
        </w:numPr>
        <w:pStyle w:val="Compact"/>
      </w:pPr>
      <w:hyperlink r:id="rId38">
        <w:r>
          <w:rPr>
            <w:rStyle w:val="Hyperlink"/>
          </w:rPr>
          <w:t xml:space="preserve">Volume VIII – África contemporânea (1975-2000)</w:t>
        </w:r>
      </w:hyperlink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unesdoc.unesco.org/ark:/48223/pf0000190249" TargetMode="External" /><Relationship Type="http://schemas.openxmlformats.org/officeDocument/2006/relationships/hyperlink" Id="rId32" Target="https://unesdoc.unesco.org/ark:/48223/pf0000190250" TargetMode="External" /><Relationship Type="http://schemas.openxmlformats.org/officeDocument/2006/relationships/hyperlink" Id="rId33" Target="https://unesdoc.unesco.org/ark:/48223/pf0000190251" TargetMode="External" /><Relationship Type="http://schemas.openxmlformats.org/officeDocument/2006/relationships/hyperlink" Id="rId34" Target="https://unesdoc.unesco.org/ark:/48223/pf0000190252" TargetMode="External" /><Relationship Type="http://schemas.openxmlformats.org/officeDocument/2006/relationships/hyperlink" Id="rId35" Target="https://unesdoc.unesco.org/ark:/48223/pf0000190253" TargetMode="External" /><Relationship Type="http://schemas.openxmlformats.org/officeDocument/2006/relationships/hyperlink" Id="rId36" Target="https://unesdoc.unesco.org/ark:/48223/pf0000190254" TargetMode="External" /><Relationship Type="http://schemas.openxmlformats.org/officeDocument/2006/relationships/hyperlink" Id="rId37" Target="https://unesdoc.unesco.org/ark:/48223/pf0000190255" TargetMode="External" /><Relationship Type="http://schemas.openxmlformats.org/officeDocument/2006/relationships/hyperlink" Id="rId38" Target="https://unesdoc.unesco.org/ark:/48223/pf000019025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unesdoc.unesco.org/ark:/48223/pf0000190249" TargetMode="External" /><Relationship Type="http://schemas.openxmlformats.org/officeDocument/2006/relationships/hyperlink" Id="rId32" Target="https://unesdoc.unesco.org/ark:/48223/pf0000190250" TargetMode="External" /><Relationship Type="http://schemas.openxmlformats.org/officeDocument/2006/relationships/hyperlink" Id="rId33" Target="https://unesdoc.unesco.org/ark:/48223/pf0000190251" TargetMode="External" /><Relationship Type="http://schemas.openxmlformats.org/officeDocument/2006/relationships/hyperlink" Id="rId34" Target="https://unesdoc.unesco.org/ark:/48223/pf0000190252" TargetMode="External" /><Relationship Type="http://schemas.openxmlformats.org/officeDocument/2006/relationships/hyperlink" Id="rId35" Target="https://unesdoc.unesco.org/ark:/48223/pf0000190253" TargetMode="External" /><Relationship Type="http://schemas.openxmlformats.org/officeDocument/2006/relationships/hyperlink" Id="rId36" Target="https://unesdoc.unesco.org/ark:/48223/pf0000190254" TargetMode="External" /><Relationship Type="http://schemas.openxmlformats.org/officeDocument/2006/relationships/hyperlink" Id="rId37" Target="https://unesdoc.unesco.org/ark:/48223/pf0000190255" TargetMode="External" /><Relationship Type="http://schemas.openxmlformats.org/officeDocument/2006/relationships/hyperlink" Id="rId38" Target="https://unesdoc.unesco.org/ark:/48223/pf000019025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2026-05-06T21:10:26Z</dcterms:created>
  <dcterms:modified xsi:type="dcterms:W3CDTF">2026-05-06T21:10:26Z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