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recorte-do-mvp"/>
    <w:p>
      <w:pPr>
        <w:pStyle w:val="Heading2"/>
      </w:pPr>
      <w:r>
        <w:t xml:space="preserve">Recorte do MVP</w:t>
      </w:r>
    </w:p>
    <w:p>
      <w:pPr>
        <w:pStyle w:val="FirstParagraph"/>
      </w:pPr>
      <w:r>
        <w:t xml:space="preserve">O MVP cobre o</w:t>
      </w:r>
      <w:r>
        <w:t xml:space="preserve"> </w:t>
      </w:r>
      <w:r>
        <w:rPr>
          <w:bCs/>
          <w:b/>
        </w:rPr>
        <w:t xml:space="preserve">Mundo 1: Origens</w:t>
      </w:r>
      <w:r>
        <w:t xml:space="preserve"> </w:t>
      </w:r>
      <w:r>
        <w:t xml:space="preserve">com 5 enigmas validados a partir do Volume I da HGA:</w:t>
      </w:r>
    </w:p>
    <w:p>
      <w:pPr>
        <w:numPr>
          <w:ilvl w:val="0"/>
          <w:numId w:val="1003"/>
        </w:numPr>
        <w:pStyle w:val="Compact"/>
      </w:pPr>
      <w:r>
        <w:t xml:space="preserve">O Berço (Vale do Rift / Lucy)</w:t>
      </w:r>
    </w:p>
    <w:p>
      <w:pPr>
        <w:numPr>
          <w:ilvl w:val="0"/>
          <w:numId w:val="1003"/>
        </w:numPr>
        <w:pStyle w:val="Compact"/>
      </w:pPr>
      <w:r>
        <w:t xml:space="preserve">O Deserto que Foi Jardim (Saara verde / Tassili n’Ajjer)</w:t>
      </w:r>
    </w:p>
    <w:p>
      <w:pPr>
        <w:numPr>
          <w:ilvl w:val="0"/>
          <w:numId w:val="1003"/>
        </w:numPr>
        <w:pStyle w:val="Compact"/>
      </w:pPr>
      <w:r>
        <w:t xml:space="preserve">Os Tecelões do Fogo (metalurgia do ferro / Cyamudongo)</w:t>
      </w:r>
    </w:p>
    <w:p>
      <w:pPr>
        <w:numPr>
          <w:ilvl w:val="0"/>
          <w:numId w:val="1003"/>
        </w:numPr>
        <w:pStyle w:val="Compact"/>
      </w:pPr>
      <w:r>
        <w:t xml:space="preserve">A Grande Caminhada (expansão Bantu)</w:t>
      </w:r>
    </w:p>
    <w:p>
      <w:pPr>
        <w:numPr>
          <w:ilvl w:val="0"/>
          <w:numId w:val="1003"/>
        </w:numPr>
        <w:pStyle w:val="Compact"/>
      </w:pPr>
      <w:r>
        <w:t xml:space="preserve">A Arte nas Pedras (arte rupestre saariana)</w:t>
      </w:r>
    </w:p>
    <w:p>
      <w:pPr>
        <w:pStyle w:val="FirstParagraph"/>
      </w:pPr>
      <w:r>
        <w:t xml:space="preserve">Estrutura permite expansão para 8 mundos (até</w:t>
      </w:r>
      <w:r>
        <w:t xml:space="preserve"> </w:t>
      </w:r>
      <w:r>
        <w:t xml:space="preserve">“</w:t>
      </w:r>
      <w:r>
        <w:t xml:space="preserve">Luta e Liberdade</w:t>
      </w:r>
      <w:r>
        <w:t xml:space="preserve">”</w:t>
      </w:r>
      <w:r>
        <w:t xml:space="preserve">, séc. XIX–XXI).</w:t>
      </w:r>
    </w:p>
    <w:bookmarkEnd w:id="25"/>
    <w:bookmarkStart w:id="26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bookmarkEnd w:id="26"/>
    <w:bookmarkStart w:id="27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2026-05-06T21:10:27Z</dcterms:created>
  <dcterms:modified xsi:type="dcterms:W3CDTF">2026-05-06T21:10:27Z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