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oadmap"/>
    <w:p>
      <w:pPr>
        <w:pStyle w:val="Heading1"/>
      </w:pPr>
      <w:r>
        <w:t xml:space="preserve">Roadmap</w:t>
      </w:r>
    </w:p>
    <w:bookmarkStart w:id="20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01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01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01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01"/>
        </w:numPr>
        <w:pStyle w:val="Compact"/>
      </w:pPr>
      <w:r>
        <w:t xml:space="preserve">Protótipo navegável em HTML/CSS/JS estático.</w:t>
      </w:r>
    </w:p>
    <w:bookmarkEnd w:id="20"/>
    <w:bookmarkStart w:id="21" w:name="fase-1-protótipo-jogável-atual"/>
    <w:p>
      <w:pPr>
        <w:pStyle w:val="Heading2"/>
      </w:pPr>
      <w:r>
        <w:t xml:space="preserve">Fase 1 — Protótipo jogável ✅ (atual)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02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02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02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Visual em paleta ouro/terra/verde/índigo, fontes Playfair Display + Lora.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02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(estilo Duolingo / Wordscapes)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 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</w:t>
      </w:r>
      <w:r>
        <w:t xml:space="preserve"> </w:t>
      </w:r>
      <w:r>
        <w:t xml:space="preserve">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 tela de resultado avança automaticamente</w:t>
      </w:r>
      <w:r>
        <w:t xml:space="preserve"> </w:t>
      </w:r>
      <w:r>
        <w:t xml:space="preserve">para o próximo enigma sem voltar à lista. Lista permanece acessível como secundária.</w:t>
      </w:r>
    </w:p>
    <w:bookmarkEnd w:id="21"/>
    <w:bookmarkStart w:id="22" w:name="fase-2-validação"/>
    <w:p>
      <w:pPr>
        <w:pStyle w:val="Heading2"/>
      </w:pPr>
      <w:r>
        <w:t xml:space="preserve">Fase 2 — Validação</w:t>
      </w:r>
    </w:p>
    <w:p>
      <w:pPr>
        <w:numPr>
          <w:ilvl w:val="0"/>
          <w:numId w:val="1003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03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03"/>
        </w:numPr>
        <w:pStyle w:val="Compact"/>
      </w:pPr>
      <w:r>
        <w:t xml:space="preserve">Revisar enigmas com especialista em HGA / educação.</w:t>
      </w:r>
    </w:p>
    <w:p>
      <w:pPr>
        <w:numPr>
          <w:ilvl w:val="0"/>
          <w:numId w:val="1003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03"/>
        </w:numPr>
        <w:pStyle w:val="Compact"/>
      </w:pPr>
      <w:r>
        <w:t xml:space="preserve">Auditoria de acessibilidade (contraste, foco, leitor de tela).</w:t>
      </w:r>
    </w:p>
    <w:bookmarkEnd w:id="22"/>
    <w:bookmarkStart w:id="23" w:name="fase-3-expansão-de-conteúdo"/>
    <w:p>
      <w:pPr>
        <w:pStyle w:val="Heading2"/>
      </w:pPr>
      <w:r>
        <w:t xml:space="preserve">Fase 3 — Expansão de conteúdo</w:t>
      </w:r>
    </w:p>
    <w:p>
      <w:pPr>
        <w:numPr>
          <w:ilvl w:val="0"/>
          <w:numId w:val="1004"/>
        </w:numPr>
        <w:pStyle w:val="Compact"/>
      </w:pPr>
      <w:r>
        <w:t xml:space="preserve">Completar Mundo 1 com mais 10 enigmas (total 15).</w:t>
      </w:r>
    </w:p>
    <w:p>
      <w:pPr>
        <w:numPr>
          <w:ilvl w:val="0"/>
          <w:numId w:val="1004"/>
        </w:numPr>
        <w:pStyle w:val="Compact"/>
      </w:pPr>
      <w:r>
        <w:t xml:space="preserve">Iniciar Mundo 2 (Reinos do Nilo, Volume II): 8 enigmas piloto.</w:t>
      </w:r>
    </w:p>
    <w:p>
      <w:pPr>
        <w:numPr>
          <w:ilvl w:val="0"/>
          <w:numId w:val="1004"/>
        </w:numPr>
        <w:pStyle w:val="Compact"/>
      </w:pPr>
      <w:r>
        <w:t xml:space="preserve">Refinar paleta sonora por mundo (instrumentos regionais distintos).</w:t>
      </w:r>
    </w:p>
    <w:p>
      <w:pPr>
        <w:numPr>
          <w:ilvl w:val="0"/>
          <w:numId w:val="1004"/>
        </w:numPr>
        <w:pStyle w:val="Compact"/>
      </w:pPr>
      <w:r>
        <w:t xml:space="preserve">Separar dados em JSON puro (atualmente JS) para abrir contribuição externa.</w:t>
      </w:r>
    </w:p>
    <w:bookmarkEnd w:id="23"/>
    <w:bookmarkStart w:id="24" w:name="fase-4-produto-aberto"/>
    <w:p>
      <w:pPr>
        <w:pStyle w:val="Heading2"/>
      </w:pPr>
      <w:r>
        <w:t xml:space="preserve">Fase 4 — Produto aberto</w:t>
      </w:r>
    </w:p>
    <w:p>
      <w:pPr>
        <w:numPr>
          <w:ilvl w:val="0"/>
          <w:numId w:val="1005"/>
        </w:numPr>
        <w:pStyle w:val="Compact"/>
      </w:pPr>
      <w:r>
        <w:t xml:space="preserve">README público com guia de contribuição.</w:t>
      </w:r>
    </w:p>
    <w:p>
      <w:pPr>
        <w:numPr>
          <w:ilvl w:val="0"/>
          <w:numId w:val="1005"/>
        </w:numPr>
        <w:pStyle w:val="Compact"/>
      </w:pPr>
      <w:r>
        <w:t xml:space="preserve">Licenças aplicadas: MIT (código), CC BY-SA 4.0 (conteúdo).</w:t>
      </w:r>
    </w:p>
    <w:p>
      <w:pPr>
        <w:numPr>
          <w:ilvl w:val="0"/>
          <w:numId w:val="1005"/>
        </w:numPr>
        <w:pStyle w:val="Compact"/>
      </w:pPr>
      <w:r>
        <w:t xml:space="preserve">Guia rápido para professores (</w:t>
      </w:r>
      <w:r>
        <w:rPr>
          <w:rStyle w:val="VerbatimChar"/>
        </w:rPr>
        <w:t xml:space="preserve">docs/PROFESSORES.md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Publicar versão online (GitHub Pages / Vercel).</w:t>
      </w:r>
    </w:p>
    <w:p>
      <w:pPr>
        <w:numPr>
          <w:ilvl w:val="0"/>
          <w:numId w:val="1005"/>
        </w:numPr>
        <w:pStyle w:val="Compact"/>
      </w:pPr>
      <w:r>
        <w:t xml:space="preserve">Exportador de progresso (compartilhar mosaicos).</w:t>
      </w:r>
    </w:p>
    <w:bookmarkEnd w:id="24"/>
    <w:bookmarkStart w:id="25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06"/>
        </w:numPr>
        <w:pStyle w:val="Compact"/>
      </w:pPr>
      <w:r>
        <w:t xml:space="preserve">Sem backend, login ou ranking global no MVP.</w:t>
      </w:r>
    </w:p>
    <w:p>
      <w:pPr>
        <w:numPr>
          <w:ilvl w:val="0"/>
          <w:numId w:val="1006"/>
        </w:numPr>
        <w:pStyle w:val="Compact"/>
      </w:pPr>
      <w:r>
        <w:t xml:space="preserve">Sem amostras de áudio externas: tudo sintetizado para manter peso e licença abertos.</w:t>
      </w:r>
    </w:p>
    <w:p>
      <w:pPr>
        <w:numPr>
          <w:ilvl w:val="0"/>
          <w:numId w:val="1006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06"/>
        </w:numPr>
        <w:pStyle w:val="Compact"/>
      </w:pPr>
      <w:r>
        <w:t xml:space="preserve">Conteúdo em PT-BR, com tolerância a variantes lusófonas (PT-PT no protótipo).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2026-05-06T21:10:27Z</dcterms:created>
  <dcterms:modified xsi:type="dcterms:W3CDTF">2026-05-06T21:10:27Z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