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Sankofa</w:t>
      </w:r>
      <w:r>
        <w:t xml:space="preserve"> </w:t>
      </w:r>
      <w:r>
        <w:t xml:space="preserve">—</w:t>
      </w:r>
      <w:r>
        <w:t xml:space="preserve"> </w:t>
      </w:r>
      <w:r>
        <w:t xml:space="preserve">Fragmentos</w:t>
      </w:r>
      <w:r>
        <w:t xml:space="preserve"> </w:t>
      </w:r>
      <w:r>
        <w:t xml:space="preserve">da</w:t>
      </w:r>
      <w:r>
        <w:t xml:space="preserve"> </w:t>
      </w:r>
      <w:r>
        <w:t xml:space="preserve">África</w:t>
      </w:r>
    </w:p>
    <w:p>
      <w:pPr>
        <w:pStyle w:val="Subtitle"/>
      </w:pPr>
      <w:r>
        <w:t xml:space="preserve">Pitch</w:t>
      </w:r>
      <w:r>
        <w:t xml:space="preserve"> </w:t>
      </w:r>
      <w:r>
        <w:t xml:space="preserve">institucional</w:t>
      </w:r>
      <w:r>
        <w:t xml:space="preserve"> </w:t>
      </w:r>
      <w:r>
        <w:t xml:space="preserve">·</w:t>
      </w:r>
      <w:r>
        <w:t xml:space="preserve"> </w:t>
      </w:r>
      <w:r>
        <w:t xml:space="preserve">UNESCO</w:t>
      </w:r>
    </w:p>
    <w:p>
      <w:pPr>
        <w:pStyle w:val="Author"/>
      </w:pPr>
      <w:r>
        <w:t xml:space="preserve">Filipe</w:t>
      </w:r>
      <w:r>
        <w:t xml:space="preserve"> </w:t>
      </w:r>
      <w:r>
        <w:t xml:space="preserve">Buba</w:t>
      </w:r>
      <w:r>
        <w:t xml:space="preserve"> </w:t>
      </w:r>
      <w:r>
        <w:t xml:space="preserve">N’hada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8</w:t>
      </w:r>
      <w:r>
        <w:t xml:space="preserve"> </w:t>
      </w:r>
      <w:r>
        <w:t xml:space="preserve">de</w:t>
      </w:r>
      <w:r>
        <w:t xml:space="preserve"> </w:t>
      </w:r>
      <w:r>
        <w:t xml:space="preserve">maio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mo-usar-este-deck"/>
    <w:p>
      <w:pPr>
        <w:pStyle w:val="Heading1"/>
      </w:pPr>
      <w:r>
        <w:t xml:space="preserve">Como usar este deck</w:t>
      </w:r>
    </w:p>
    <w:p>
      <w:pPr>
        <w:pStyle w:val="FirstParagraph"/>
      </w:pPr>
      <w:r>
        <w:t xml:space="preserve">Versão</w:t>
      </w:r>
      <w:r>
        <w:t xml:space="preserve"> </w:t>
      </w:r>
      <w:r>
        <w:rPr>
          <w:bCs/>
          <w:b/>
        </w:rPr>
        <w:t xml:space="preserve">institucional</w:t>
      </w:r>
      <w:r>
        <w:t xml:space="preserve"> </w:t>
      </w:r>
      <w:r>
        <w:t xml:space="preserve">do pitch, com 6 slides, dirigida à Comissão</w:t>
      </w:r>
      <w:r>
        <w:t xml:space="preserve"> </w:t>
      </w:r>
      <w:r>
        <w:t xml:space="preserve">Nacional da UNESCO no Brasil e à sede em Paris. Tom: legitimidade</w:t>
      </w:r>
      <w:r>
        <w:t xml:space="preserve"> </w:t>
      </w:r>
      <w:r>
        <w:t xml:space="preserve">pedagógica e parceria institucional,</w:t>
      </w:r>
      <w:r>
        <w:t xml:space="preserve"> </w:t>
      </w:r>
      <w:r>
        <w:rPr>
          <w:bCs/>
          <w:b/>
        </w:rPr>
        <w:t xml:space="preserve">sem componente comercial</w:t>
      </w:r>
      <w:r>
        <w:t xml:space="preserve"> </w:t>
      </w:r>
      <w:r>
        <w:t xml:space="preserve">(captação, valuations, projeções de receita, comparações agressivas).</w:t>
      </w:r>
    </w:p>
    <w:p>
      <w:pPr>
        <w:pStyle w:val="BodyText"/>
      </w:pPr>
      <w:r>
        <w:t xml:space="preserve">Para apresentações a investidores, patrocinadores ESG, escolas privadas</w:t>
      </w:r>
      <w:r>
        <w:t xml:space="preserve"> </w:t>
      </w:r>
      <w:r>
        <w:t xml:space="preserve">ou editais não-UNESCO, usar o deck principal em</w:t>
      </w:r>
      <w:r>
        <w:t xml:space="preserve"> </w:t>
      </w:r>
      <w:r>
        <w:rPr>
          <w:rStyle w:val="VerbatimChar"/>
        </w:rPr>
        <w:t xml:space="preserve">docs/PITCH-DECK.md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slide-1-problema"/>
    <w:p>
      <w:pPr>
        <w:pStyle w:val="Heading1"/>
      </w:pPr>
      <w:r>
        <w:t xml:space="preserve">Slide 1 — Problema</w:t>
      </w:r>
    </w:p>
    <w:bookmarkStart w:id="21" w:name="X3adde99de9e3f2765d5016bc9e63eac3ca618f6"/>
    <w:p>
      <w:pPr>
        <w:pStyle w:val="Heading2"/>
      </w:pPr>
      <w:r>
        <w:t xml:space="preserve">A lacuna entre a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e o uso real em sala</w:t>
      </w:r>
    </w:p>
    <w:p>
      <w:pPr>
        <w:pStyle w:val="FirstParagraph"/>
      </w:pPr>
      <w:r>
        <w:t xml:space="preserve">A coleção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, publicada pela UNESCO em 8 volumes</w:t>
      </w:r>
      <w:r>
        <w:t xml:space="preserve"> </w:t>
      </w:r>
      <w:r>
        <w:t xml:space="preserve">entre 1981 e 1993, é o esforço mais relevante já feito para narrar a</w:t>
      </w:r>
      <w:r>
        <w:t xml:space="preserve"> </w:t>
      </w:r>
      <w:r>
        <w:t xml:space="preserve">história do continente africano a partir de pesquisadoras e</w:t>
      </w:r>
      <w:r>
        <w:t xml:space="preserve"> </w:t>
      </w:r>
      <w:r>
        <w:t xml:space="preserve">pesquisadores africanos.</w:t>
      </w:r>
      <w:r>
        <w:t xml:space="preserve"> </w:t>
      </w:r>
      <w:r>
        <w:rPr>
          <w:bCs/>
          <w:b/>
        </w:rPr>
        <w:t xml:space="preserve">Tem mais de 8.000 páginas.</w:t>
      </w:r>
    </w:p>
    <w:p>
      <w:pPr>
        <w:pStyle w:val="BodyText"/>
      </w:pPr>
      <w:r>
        <w:t xml:space="preserve">No Brasil, há</w:t>
      </w:r>
      <w:r>
        <w:t xml:space="preserve"> </w:t>
      </w:r>
      <w:r>
        <w:rPr>
          <w:bCs/>
          <w:b/>
        </w:rPr>
        <w:t xml:space="preserve">22 anos</w:t>
      </w:r>
      <w:r>
        <w:t xml:space="preserve"> </w:t>
      </w:r>
      <w:r>
        <w:t xml:space="preserve">que a Lei 10.639/03 obriga o ensino de</w:t>
      </w:r>
      <w:r>
        <w:t xml:space="preserve"> </w:t>
      </w:r>
      <w:r>
        <w:t xml:space="preserve">História e Cultura Afro-Brasileira em todas as escolas. O Censo Escolar</w:t>
      </w:r>
      <w:r>
        <w:t xml:space="preserve"> </w:t>
      </w:r>
      <w:r>
        <w:t xml:space="preserve">2024 (Inep) registra</w:t>
      </w:r>
      <w:r>
        <w:t xml:space="preserve"> </w:t>
      </w:r>
      <w:r>
        <w:rPr>
          <w:bCs/>
          <w:b/>
        </w:rPr>
        <w:t xml:space="preserve">47,1 milhões de estudantes</w:t>
      </w:r>
      <w:r>
        <w:t xml:space="preserve">,</w:t>
      </w:r>
      <w:r>
        <w:t xml:space="preserve"> </w:t>
      </w:r>
      <w:r>
        <w:rPr>
          <w:bCs/>
          <w:b/>
        </w:rPr>
        <w:t xml:space="preserve">2,4 milhões de</w:t>
      </w:r>
      <w:r>
        <w:rPr>
          <w:bCs/>
          <w:b/>
        </w:rPr>
        <w:t xml:space="preserve"> </w:t>
      </w:r>
      <w:r>
        <w:rPr>
          <w:bCs/>
          <w:b/>
        </w:rPr>
        <w:t xml:space="preserve">professoras e professores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179,3 mil escolas</w:t>
      </w:r>
      <w:r>
        <w:t xml:space="preserve"> </w:t>
      </w:r>
      <w:r>
        <w:t xml:space="preserve">na educação básica.</w:t>
      </w:r>
    </w:p>
    <w:p>
      <w:pPr>
        <w:pStyle w:val="BodyText"/>
      </w:pPr>
      <w:r>
        <w:t xml:space="preserve">Entre o acervo HGA — denso, acadêmico, em livros — e essa rede</w:t>
      </w:r>
      <w:r>
        <w:t xml:space="preserve"> </w:t>
      </w:r>
      <w:r>
        <w:t xml:space="preserve">extensa de salas de aula,</w:t>
      </w:r>
      <w:r>
        <w:t xml:space="preserve"> </w:t>
      </w:r>
      <w:r>
        <w:rPr>
          <w:bCs/>
          <w:b/>
        </w:rPr>
        <w:t xml:space="preserve">falta uma camada digital lusófona,</w:t>
      </w:r>
      <w:r>
        <w:rPr>
          <w:bCs/>
          <w:b/>
        </w:rPr>
        <w:t xml:space="preserve"> </w:t>
      </w:r>
      <w:r>
        <w:rPr>
          <w:bCs/>
          <w:b/>
        </w:rPr>
        <w:t xml:space="preserve">acessível e mobile-first, especificamente derivada da HGA</w:t>
      </w:r>
      <w:r>
        <w:t xml:space="preserve">, capaz de</w:t>
      </w:r>
      <w:r>
        <w:t xml:space="preserve"> </w:t>
      </w:r>
      <w:r>
        <w:t xml:space="preserve">chegar a estudantes em situação de conectividade irregular e a</w:t>
      </w:r>
      <w:r>
        <w:t xml:space="preserve"> </w:t>
      </w:r>
      <w:r>
        <w:t xml:space="preserve">educadores sem repertório prévio sobre o tema.</w:t>
      </w:r>
    </w:p>
    <w:p>
      <w:pPr>
        <w:pStyle w:val="BlockText"/>
      </w:pPr>
      <w:r>
        <w:rPr>
          <w:bCs/>
          <w:b/>
        </w:rPr>
        <w:t xml:space="preserve">Visual:</w:t>
      </w:r>
      <w:r>
        <w:t xml:space="preserve"> </w:t>
      </w:r>
      <w:r>
        <w:t xml:space="preserve">mapa da África com volumes da HGA empilhados de um lado e</w:t>
      </w:r>
      <w:r>
        <w:t xml:space="preserve"> </w:t>
      </w:r>
      <w:r>
        <w:t xml:space="preserve">sala de aula contemporânea com celulares do outro. Linha pontilhada</w:t>
      </w:r>
      <w:r>
        <w:t xml:space="preserve"> </w:t>
      </w:r>
      <w:r>
        <w:t xml:space="preserve">entre os dois — a ponte que falta.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lide-2-solução"/>
    <w:p>
      <w:pPr>
        <w:pStyle w:val="Heading1"/>
      </w:pPr>
      <w:r>
        <w:t xml:space="preserve">Slide 2 — Solução</w:t>
      </w:r>
    </w:p>
    <w:bookmarkStart w:id="23" w:name="X38ba4b54e405809577ba3802b00116ea57687c4"/>
    <w:p>
      <w:pPr>
        <w:pStyle w:val="Heading2"/>
      </w:pPr>
      <w:r>
        <w:t xml:space="preserve">Sankofa: a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como jogo de enigmas</w:t>
      </w:r>
    </w:p>
    <w:p>
      <w:pPr>
        <w:pStyle w:val="FirstParagraph"/>
      </w:pPr>
      <w:r>
        <w:t xml:space="preserve">O nome</w:t>
      </w:r>
      <w:r>
        <w:t xml:space="preserve"> </w:t>
      </w:r>
      <w:r>
        <w:rPr>
          <w:bCs/>
          <w:b/>
        </w:rPr>
        <w:t xml:space="preserve">Sankofa</w:t>
      </w:r>
      <w:r>
        <w:t xml:space="preserve"> </w:t>
      </w:r>
      <w:r>
        <w:t xml:space="preserve">vem do povo Acano-Axanti (Gana) e significa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volte e busque</w:t>
      </w:r>
      <w:r>
        <w:rPr>
          <w:iCs/>
          <w:i/>
        </w:rPr>
        <w:t xml:space="preserve">”</w:t>
      </w:r>
      <w:r>
        <w:t xml:space="preserve">. O símbolo é um pássaro que olha para trás</w:t>
      </w:r>
      <w:r>
        <w:t xml:space="preserve"> </w:t>
      </w:r>
      <w:r>
        <w:t xml:space="preserve">enquanto voa em frente.</w:t>
      </w:r>
    </w:p>
    <w:p>
      <w:pPr>
        <w:pStyle w:val="BodyText"/>
      </w:pPr>
      <w:r>
        <w:t xml:space="preserve">Sankofa transforma a HGA em uma</w:t>
      </w:r>
      <w:r>
        <w:t xml:space="preserve"> </w:t>
      </w:r>
      <w:r>
        <w:rPr>
          <w:bCs/>
          <w:b/>
        </w:rPr>
        <w:t xml:space="preserve">experiência de descoberta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mundos</w:t>
      </w:r>
      <w:r>
        <w:t xml:space="preserve"> </w:t>
      </w:r>
      <w:r>
        <w:t xml:space="preserve">narrativos cobrindo Volumes I a VIII.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em estrutura: introdução poética, contexto</w:t>
      </w:r>
      <w:r>
        <w:t xml:space="preserve"> </w:t>
      </w:r>
      <w:r>
        <w:t xml:space="preserve">histórico opcional, pergunta de múltipla escolha, dicas progressivas,</w:t>
      </w:r>
      <w:r>
        <w:t xml:space="preserve"> </w:t>
      </w:r>
      <w:r>
        <w:t xml:space="preserve">explicação com fonte HGA citada, fragmento visual e curiosidade.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 Casas Reais Africanas</w:t>
      </w:r>
      <w:r>
        <w:t xml:space="preserve"> </w:t>
      </w:r>
      <w:r>
        <w:t xml:space="preserve">como camada simbólica de pertencimento</w:t>
      </w:r>
      <w:r>
        <w:t xml:space="preserve"> </w:t>
      </w:r>
      <w:r>
        <w:t xml:space="preserve">(Faraós de Kemet, Kandakes de Kush, Mansas do Mali, Negus de Aksum,</w:t>
      </w:r>
      <w:r>
        <w:t xml:space="preserve"> </w:t>
      </w:r>
      <w:r>
        <w:t xml:space="preserve">Asantehene, Obas do Benin, Manikongo, Mwami do Ruanda, Linhagem</w:t>
      </w:r>
      <w:r>
        <w:t xml:space="preserve"> </w:t>
      </w:r>
      <w:r>
        <w:t xml:space="preserve">Quilombola).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Sonoridade</w:t>
      </w:r>
      <w:r>
        <w:t xml:space="preserve"> </w:t>
      </w:r>
      <w:r>
        <w:t xml:space="preserve">sintetizada em tempo real de instrumentos africanos</w:t>
      </w:r>
      <w:r>
        <w:t xml:space="preserve"> </w:t>
      </w:r>
      <w:r>
        <w:t xml:space="preserve">(djembe, kalimba, balafon, talking drum, agogô, shaker), sem</w:t>
      </w:r>
      <w:r>
        <w:t xml:space="preserve"> </w:t>
      </w:r>
      <w:r>
        <w:t xml:space="preserve">amostras externas, sem licença de áudio de terceiros.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Mobile-first</w:t>
      </w:r>
      <w:r>
        <w:t xml:space="preserve">,</w:t>
      </w:r>
      <w:r>
        <w:t xml:space="preserve"> </w:t>
      </w:r>
      <w:r>
        <w:rPr>
          <w:bCs/>
          <w:b/>
        </w:rPr>
        <w:t xml:space="preserve">offline-first</w:t>
      </w:r>
      <w:r>
        <w:t xml:space="preserve"> </w:t>
      </w:r>
      <w:r>
        <w:t xml:space="preserve">(Progressive Web App),</w:t>
      </w:r>
      <w:r>
        <w:t xml:space="preserve"> </w:t>
      </w:r>
      <w:r>
        <w:t xml:space="preserve">acessibilidade WCAG 2.1 AA, multi-idioma em curso (PT-BR completo,</w:t>
      </w:r>
      <w:r>
        <w:t xml:space="preserve"> </w:t>
      </w:r>
      <w:r>
        <w:t xml:space="preserve">EN/ES iniciados, FR planejado para Fase 2).</w:t>
      </w:r>
    </w:p>
    <w:p>
      <w:pPr>
        <w:pStyle w:val="FirstParagraph"/>
      </w:pPr>
      <w:r>
        <w:t xml:space="preserve">A pedagogia é de</w:t>
      </w:r>
      <w:r>
        <w:t xml:space="preserve"> </w:t>
      </w:r>
      <w:r>
        <w:rPr>
          <w:bCs/>
          <w:b/>
        </w:rPr>
        <w:t xml:space="preserve">descoberta antes de instrução</w:t>
      </w:r>
      <w:r>
        <w:t xml:space="preserve">: o conhecimento</w:t>
      </w:r>
      <w:r>
        <w:t xml:space="preserve"> </w:t>
      </w:r>
      <w:r>
        <w:t xml:space="preserve">chega como recompensa do enigma resolvido. Errar não bloqueia —</w:t>
      </w:r>
      <w:r>
        <w:t xml:space="preserve"> </w:t>
      </w:r>
      <w:r>
        <w:t xml:space="preserve">alimenta o</w:t>
      </w:r>
      <w:r>
        <w:t xml:space="preserve"> </w:t>
      </w:r>
      <w:r>
        <w:rPr>
          <w:bCs/>
          <w:b/>
        </w:rPr>
        <w:t xml:space="preserve">Caderno de Revisão</w:t>
      </w:r>
      <w:r>
        <w:t xml:space="preserve"> </w:t>
      </w:r>
      <w:r>
        <w:t xml:space="preserve">e o jogador volta quando quiser.</w:t>
      </w:r>
    </w:p>
    <w:p>
      <w:pPr>
        <w:pStyle w:val="BlockText"/>
      </w:pPr>
      <w:r>
        <w:rPr>
          <w:bCs/>
          <w:b/>
        </w:rPr>
        <w:t xml:space="preserve">Visual:</w:t>
      </w:r>
      <w:r>
        <w:t xml:space="preserve"> </w:t>
      </w:r>
      <w:r>
        <w:t xml:space="preserve">três capturas de tela lado a lado — mapa de mundos,</w:t>
      </w:r>
      <w:r>
        <w:t xml:space="preserve"> </w:t>
      </w:r>
      <w:r>
        <w:t xml:space="preserve">tela de enigma, mosaico de fragmentos. Tema papiro/dark.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lide-3-aderência-à-agenda-unesco"/>
    <w:p>
      <w:pPr>
        <w:pStyle w:val="Heading1"/>
      </w:pPr>
      <w:r>
        <w:t xml:space="preserve">Slide 3 — Aderência à agenda UNESCO</w:t>
      </w:r>
    </w:p>
    <w:bookmarkStart w:id="26" w:name="X07bac2f20acaac7ce3c812277d50269719d07d6"/>
    <w:p>
      <w:pPr>
        <w:pStyle w:val="Heading2"/>
      </w:pPr>
      <w:r>
        <w:t xml:space="preserve">Sankofa como complemento prático ao trabalho que a UNESCO já promove</w:t>
      </w:r>
    </w:p>
    <w:p>
      <w:pPr>
        <w:pStyle w:val="FirstParagraph"/>
      </w:pPr>
      <w:r>
        <w:t xml:space="preserve">A UNESCO tem investido sistematicamente na</w:t>
      </w:r>
      <w:r>
        <w:t xml:space="preserve"> </w:t>
      </w:r>
      <w:r>
        <w:rPr>
          <w:bCs/>
          <w:b/>
        </w:rPr>
        <w:t xml:space="preserve">integração da HGA aos</w:t>
      </w:r>
      <w:r>
        <w:rPr>
          <w:bCs/>
          <w:b/>
        </w:rPr>
        <w:t xml:space="preserve"> </w:t>
      </w:r>
      <w:r>
        <w:rPr>
          <w:bCs/>
          <w:b/>
        </w:rPr>
        <w:t xml:space="preserve">sistemas educacionais nacionais</w:t>
      </w:r>
      <w:r>
        <w:t xml:space="preserve">, com um</w:t>
      </w:r>
      <w:r>
        <w:t xml:space="preserve"> </w:t>
      </w:r>
      <w:r>
        <w:rPr>
          <w:iCs/>
          <w:i/>
        </w:rPr>
        <w:t xml:space="preserve">curriculum pathway</w:t>
      </w:r>
      <w:r>
        <w:t xml:space="preserve"> </w:t>
      </w:r>
      <w:r>
        <w:t xml:space="preserve">pedagógico atualizado em 2025–2026, e com iniciativas lúdicas</w:t>
      </w:r>
      <w:r>
        <w:t xml:space="preserve"> </w:t>
      </w:r>
      <w:r>
        <w:t xml:space="preserve">convergentes — entre elas o jogo</w:t>
      </w:r>
      <w:r>
        <w:t xml:space="preserve"> </w:t>
      </w:r>
      <w:r>
        <w:rPr>
          <w:bCs/>
          <w:b/>
        </w:rPr>
        <w:t xml:space="preserve">African Heroes</w:t>
      </w:r>
      <w:r>
        <w:t xml:space="preserve">, lançado pela</w:t>
      </w:r>
      <w:r>
        <w:t xml:space="preserve"> </w:t>
      </w:r>
      <w:r>
        <w:t xml:space="preserve">própria UNESCO para aproximar conteúdos da HGA de novas audiências.</w:t>
      </w:r>
    </w:p>
    <w:p>
      <w:pPr>
        <w:pStyle w:val="BodyText"/>
      </w:pPr>
      <w:r>
        <w:t xml:space="preserve">Sankofa não busca substituir essas iniciativas. Posiciona-se como</w:t>
      </w:r>
      <w:r>
        <w:t xml:space="preserve"> </w:t>
      </w:r>
      <w:r>
        <w:rPr>
          <w:bCs/>
          <w:b/>
        </w:rPr>
        <w:t xml:space="preserve">complemento prático</w:t>
      </w:r>
      <w:r>
        <w:t xml:space="preserve">, com três contribuições específicas que</w:t>
      </w:r>
      <w:r>
        <w:t xml:space="preserve"> </w:t>
      </w:r>
      <w:r>
        <w:t xml:space="preserve">a paisagem atual ainda comporta: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Cobertura lusófona</w:t>
      </w:r>
      <w:r>
        <w:t xml:space="preserve"> </w:t>
      </w:r>
      <w:r>
        <w:t xml:space="preserve">— interface, narrativa e enigmas em</w:t>
      </w:r>
      <w:r>
        <w:t xml:space="preserve"> </w:t>
      </w:r>
      <w:r>
        <w:t xml:space="preserve">português brasileiro, com tradução para PT-PT, EN, ES e FR no</w:t>
      </w:r>
      <w:r>
        <w:t xml:space="preserve"> </w:t>
      </w:r>
      <w:r>
        <w:t xml:space="preserve">roadmap, mirando os países da Comunidade dos Países de Língua</w:t>
      </w:r>
      <w:r>
        <w:t xml:space="preserve"> </w:t>
      </w:r>
      <w:r>
        <w:t xml:space="preserve">Portuguesa (CPLP) e a diáspora afrodescendente das Américas.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Offline-first</w:t>
      </w:r>
      <w:r>
        <w:t xml:space="preserve"> </w:t>
      </w:r>
      <w:r>
        <w:t xml:space="preserve">— funciona em qualquer celular sem conexão</w:t>
      </w:r>
      <w:r>
        <w:t xml:space="preserve"> </w:t>
      </w:r>
      <w:r>
        <w:t xml:space="preserve">estável, condição essencial para escolas públicas em situação</w:t>
      </w:r>
      <w:r>
        <w:t xml:space="preserve"> </w:t>
      </w:r>
      <w:r>
        <w:t xml:space="preserve">de conectividade irregular no Brasil e nos PALOP.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source com licença claramente derivada da HGA</w:t>
      </w:r>
      <w:r>
        <w:t xml:space="preserve"> </w:t>
      </w:r>
      <w:r>
        <w:t xml:space="preserve">— código</w:t>
      </w:r>
      <w:r>
        <w:t xml:space="preserve"> </w:t>
      </w:r>
      <w:r>
        <w:t xml:space="preserve">sob MIT, conteúdo educativo sob CC BY-SA 4.0, em conformidade</w:t>
      </w:r>
      <w:r>
        <w:t xml:space="preserve"> </w:t>
      </w:r>
      <w:r>
        <w:t xml:space="preserve">integral com a licença CC BY-SA IGO 3.0 da UNESCO para a HGA.</w:t>
      </w:r>
    </w:p>
    <w:bookmarkStart w:id="25" w:name="alinhamentos-institucionais-explícitos"/>
    <w:p>
      <w:pPr>
        <w:pStyle w:val="Heading3"/>
      </w:pPr>
      <w:r>
        <w:t xml:space="preserve">Alinhamentos institucionais explícitos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ODS 4</w:t>
      </w:r>
      <w:r>
        <w:t xml:space="preserve"> </w:t>
      </w:r>
      <w:r>
        <w:t xml:space="preserve">— Educação de qualidade.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ODS 10</w:t>
      </w:r>
      <w:r>
        <w:t xml:space="preserve"> </w:t>
      </w:r>
      <w:r>
        <w:t xml:space="preserve">— Redução das desigualdades.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Década Internacional dos Afrodescendentes 2025–2034</w:t>
      </w:r>
      <w:r>
        <w:t xml:space="preserve"> </w:t>
      </w:r>
      <w:r>
        <w:t xml:space="preserve">(ONU/UNESCO).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Lei brasileira nº 10.639/03 e nº 11.645/08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Princípios da declaração da UNESCO sobre Open Educational Resources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Visual:</w:t>
      </w:r>
      <w:r>
        <w:t xml:space="preserve"> </w:t>
      </w:r>
      <w:r>
        <w:t xml:space="preserve">quatro selos institucionais (ODS 4, ODS 10, Década</w:t>
      </w:r>
      <w:r>
        <w:t xml:space="preserve"> </w:t>
      </w:r>
      <w:r>
        <w:t xml:space="preserve">Afrodescendentes, OER) ladeando o pássaro Sankofa.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slide-4-estado-atual"/>
    <w:p>
      <w:pPr>
        <w:pStyle w:val="Heading1"/>
      </w:pPr>
      <w:r>
        <w:t xml:space="preserve">Slide 4 — Estado atual</w:t>
      </w:r>
    </w:p>
    <w:bookmarkStart w:id="29" w:name="o-que-já-está-pronto-no-ar-e-auditável"/>
    <w:p>
      <w:pPr>
        <w:pStyle w:val="Heading2"/>
      </w:pPr>
      <w:r>
        <w:t xml:space="preserve">O que já está pronto, no ar, e auditável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Aplicativo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https://www.sankofahga.com (PWA instalável)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enigmas validados em estrutura, distribuídos em 8 mundos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HGA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 I a VIII (todos os 8 volumes da publicação UNESCO)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· funciona offline · zero cadastro · zero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AA · 5 níveis de zoom · TTS PT-BR · fonte Atkinson Hyperlegible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LGPD-compliant · zero PII de menores em rankings públicos · direito de apagar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principal: PT-BR, EN, ES (em curso) · FR Fase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MIT · conteúdo CC BY-SA 4.0 · derivação HGA em CC BY-SA IGO 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Conformidade UNESCO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formal + disclaimer obrigatório visíveis · sem logo UNESCO · sem fotografias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https://github.com/filipebuba/sankofa</w:t>
            </w:r>
          </w:p>
        </w:tc>
      </w:tr>
    </w:tbl>
    <w:bookmarkStart w:id="28" w:name="o-que-ainda-não-está"/>
    <w:p>
      <w:pPr>
        <w:pStyle w:val="Heading3"/>
      </w:pPr>
      <w:r>
        <w:t xml:space="preserve">O que ainda não está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Validação acadêmica formal</w:t>
      </w:r>
      <w:r>
        <w:t xml:space="preserve"> </w:t>
      </w:r>
      <w:r>
        <w:t xml:space="preserve">dos 71 enigmas por revisores externos</w:t>
      </w:r>
      <w:r>
        <w:t xml:space="preserve"> </w:t>
      </w:r>
      <w:r>
        <w:t xml:space="preserve">(em curso).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Modo Sala de Aula</w:t>
      </w:r>
      <w:r>
        <w:t xml:space="preserve"> </w:t>
      </w:r>
      <w:r>
        <w:t xml:space="preserve">(Kahoot-style realtime para professores) —</w:t>
      </w:r>
      <w:r>
        <w:t xml:space="preserve"> </w:t>
      </w:r>
      <w:r>
        <w:t xml:space="preserve">planejado para 2026 Q3.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Tradução completa de UI + enigmas em EN/ES</w:t>
      </w:r>
      <w:r>
        <w:t xml:space="preserve"> </w:t>
      </w:r>
      <w:r>
        <w:t xml:space="preserve">— em desenvolvimento.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Piloto pedagógico em rede de escolas</w:t>
      </w:r>
      <w:r>
        <w:t xml:space="preserve"> </w:t>
      </w:r>
      <w:r>
        <w:t xml:space="preserve">— pendente da carta de</w:t>
      </w:r>
      <w:r>
        <w:t xml:space="preserve"> </w:t>
      </w:r>
      <w:r>
        <w:t xml:space="preserve">apoio institucional.</w:t>
      </w:r>
    </w:p>
    <w:p>
      <w:pPr>
        <w:pStyle w:val="BlockText"/>
      </w:pPr>
      <w:r>
        <w:rPr>
          <w:bCs/>
          <w:b/>
        </w:rPr>
        <w:t xml:space="preserve">Visual:</w:t>
      </w:r>
      <w:r>
        <w:t xml:space="preserve"> </w:t>
      </w:r>
      <w:r>
        <w:t xml:space="preserve">quatro capturas de tela (landing, mapa, enigma,</w:t>
      </w:r>
      <w:r>
        <w:t xml:space="preserve"> </w:t>
      </w:r>
      <w:r>
        <w:t xml:space="preserve">mosaico) + selo</w:t>
      </w:r>
      <w:r>
        <w:t xml:space="preserve"> </w:t>
      </w:r>
      <w:r>
        <w:t xml:space="preserve">“</w:t>
      </w:r>
      <w:r>
        <w:t xml:space="preserve">v1.5.8 · público · auditável</w:t>
      </w:r>
      <w:r>
        <w:t xml:space="preserve">”</w:t>
      </w:r>
      <w:r>
        <w:t xml:space="preserve"> </w:t>
      </w:r>
      <w:r>
        <w:t xml:space="preserve">no rodapé.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slide-5-pedido-institucional"/>
    <w:p>
      <w:pPr>
        <w:pStyle w:val="Heading1"/>
      </w:pPr>
      <w:r>
        <w:t xml:space="preserve">Slide 5 — Pedido institucional</w:t>
      </w:r>
    </w:p>
    <w:bookmarkStart w:id="35" w:name="Xc17d95a218dceab0608245496ac341677487ba4"/>
    <w:p>
      <w:pPr>
        <w:pStyle w:val="Heading2"/>
      </w:pPr>
      <w:r>
        <w:t xml:space="preserve">Quatro pedidos concretos à Comissão Nacional da UNESCO</w:t>
      </w:r>
    </w:p>
    <w:p>
      <w:pPr>
        <w:pStyle w:val="FirstParagraph"/>
      </w:pPr>
      <w:r>
        <w:t xml:space="preserve">A esta Comissão, com muito respeito:</w:t>
      </w:r>
    </w:p>
    <w:bookmarkStart w:id="31" w:name="reunião-de-apresentação"/>
    <w:p>
      <w:pPr>
        <w:pStyle w:val="Heading3"/>
      </w:pPr>
      <w:r>
        <w:t xml:space="preserve">1. Reunião de apresentação</w:t>
      </w:r>
    </w:p>
    <w:p>
      <w:pPr>
        <w:pStyle w:val="FirstParagraph"/>
      </w:pPr>
      <w:r>
        <w:t xml:space="preserve">Reunião breve (30–45 min), presencial em São Paulo ou Brasília, ou</w:t>
      </w:r>
      <w:r>
        <w:t xml:space="preserve"> </w:t>
      </w:r>
      <w:r>
        <w:t xml:space="preserve">online conforme conveniência, para demonstração ao vivo do jogo e</w:t>
      </w:r>
      <w:r>
        <w:t xml:space="preserve"> </w:t>
      </w:r>
      <w:r>
        <w:t xml:space="preserve">diálogo institucional.</w:t>
      </w:r>
    </w:p>
    <w:bookmarkEnd w:id="31"/>
    <w:bookmarkStart w:id="32" w:name="avaliação-técnica-e-pedagógica"/>
    <w:p>
      <w:pPr>
        <w:pStyle w:val="Heading3"/>
      </w:pPr>
      <w:r>
        <w:t xml:space="preserve">2. Avaliação técnica e pedagógica</w:t>
      </w:r>
    </w:p>
    <w:p>
      <w:pPr>
        <w:pStyle w:val="FirstParagraph"/>
      </w:pPr>
      <w:r>
        <w:t xml:space="preserve">Leitura crítica da equipe sobre aderência institucional, adequação</w:t>
      </w:r>
      <w:r>
        <w:t xml:space="preserve"> </w:t>
      </w:r>
      <w:r>
        <w:t xml:space="preserve">historiográfica, e eventuais ajustes que fortaleçam o alinhamento com</w:t>
      </w:r>
      <w:r>
        <w:t xml:space="preserve"> </w:t>
      </w:r>
      <w:r>
        <w:t xml:space="preserve">os princípios da UNESCO.</w:t>
      </w:r>
    </w:p>
    <w:bookmarkEnd w:id="32"/>
    <w:bookmarkStart w:id="33" w:name="carta-de-apoio-institucional-eventual"/>
    <w:p>
      <w:pPr>
        <w:pStyle w:val="Heading3"/>
      </w:pPr>
      <w:r>
        <w:t xml:space="preserve">3. Carta de apoio institucional (eventual)</w:t>
      </w:r>
    </w:p>
    <w:p>
      <w:pPr>
        <w:pStyle w:val="FirstParagraph"/>
      </w:pPr>
      <w:r>
        <w:t xml:space="preserve">Caso a Comissão considere o projeto alinhado,</w:t>
      </w:r>
      <w:r>
        <w:t xml:space="preserve"> </w:t>
      </w:r>
      <w:r>
        <w:rPr>
          <w:bCs/>
          <w:b/>
        </w:rPr>
        <w:t xml:space="preserve">carta formal de apoio</w:t>
      </w:r>
      <w:r>
        <w:t xml:space="preserve"> </w:t>
      </w:r>
      <w:r>
        <w:t xml:space="preserve">para fortalecer:</w:t>
      </w:r>
    </w:p>
    <w:p>
      <w:pPr>
        <w:numPr>
          <w:ilvl w:val="0"/>
          <w:numId w:val="1005"/>
        </w:numPr>
        <w:pStyle w:val="Compact"/>
      </w:pPr>
      <w:r>
        <w:t xml:space="preserve">candidaturas a editais brasileiros (PNAB SP 04/2026, Lei Paulo</w:t>
      </w:r>
      <w:r>
        <w:t xml:space="preserve"> </w:t>
      </w:r>
      <w:r>
        <w:t xml:space="preserve">Gustavo, FNCE/FINEP);</w:t>
      </w:r>
    </w:p>
    <w:p>
      <w:pPr>
        <w:numPr>
          <w:ilvl w:val="0"/>
          <w:numId w:val="1005"/>
        </w:numPr>
        <w:pStyle w:val="Compact"/>
      </w:pPr>
      <w:r>
        <w:t xml:space="preserve">parcerias diretas com Secretarias Municipais e Estaduais de Educação;</w:t>
      </w:r>
    </w:p>
    <w:p>
      <w:pPr>
        <w:numPr>
          <w:ilvl w:val="0"/>
          <w:numId w:val="1005"/>
        </w:numPr>
        <w:pStyle w:val="Compact"/>
      </w:pPr>
      <w:r>
        <w:t xml:space="preserve">aproximações com universidades da CPLP para validação acadêmica.</w:t>
      </w:r>
    </w:p>
    <w:bookmarkEnd w:id="33"/>
    <w:bookmarkStart w:id="34" w:name="indicação-de-mecanismos-e-parceiros"/>
    <w:p>
      <w:pPr>
        <w:pStyle w:val="Heading3"/>
      </w:pPr>
      <w:r>
        <w:t xml:space="preserve">4. Indicação de mecanismos e parceiros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Mecanismos UNESCO futuros</w:t>
      </w:r>
      <w:r>
        <w:t xml:space="preserve"> </w:t>
      </w:r>
      <w:r>
        <w:t xml:space="preserve">— orientação sobre janelas de</w:t>
      </w:r>
      <w:r>
        <w:t xml:space="preserve"> </w:t>
      </w:r>
      <w:r>
        <w:t xml:space="preserve">participação adequadas. (Reconheço que o ciclo 2026–2027 do</w:t>
      </w:r>
      <w:r>
        <w:t xml:space="preserve"> </w:t>
      </w:r>
      <w:r>
        <w:t xml:space="preserve">Participation Programme já encerrou suas submissões em 27/02/2026</w:t>
      </w:r>
      <w:r>
        <w:t xml:space="preserve"> </w:t>
      </w:r>
      <w:r>
        <w:t xml:space="preserve">e que o canal exige proponência via Comissão Nacional ou ONG em</w:t>
      </w:r>
      <w:r>
        <w:t xml:space="preserve"> </w:t>
      </w:r>
      <w:r>
        <w:t xml:space="preserve">parceria oficial.)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Comissão Brasileira para o Ensino da História da África</w:t>
      </w:r>
      <w:r>
        <w:t xml:space="preserve"> </w:t>
      </w:r>
      <w:r>
        <w:t xml:space="preserve">(vinculada ao MEC).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Universidades dos PALOP</w:t>
      </w:r>
      <w:r>
        <w:t xml:space="preserve"> </w:t>
      </w:r>
      <w:r>
        <w:t xml:space="preserve">(Eduardo Mondlane, Cabo Verde, Agostinho</w:t>
      </w:r>
      <w:r>
        <w:t xml:space="preserve"> </w:t>
      </w:r>
      <w:r>
        <w:t xml:space="preserve">Neto) para parceria de validação acadêmica e tradução.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Outras Comissões Nacionais lusófonas</w:t>
      </w:r>
      <w:r>
        <w:t xml:space="preserve"> </w:t>
      </w:r>
      <w:r>
        <w:t xml:space="preserve">(Portugal, Cabo Verde,</w:t>
      </w:r>
      <w:r>
        <w:t xml:space="preserve"> </w:t>
      </w:r>
      <w:r>
        <w:t xml:space="preserve">Angola, Moçambique, Guiné-Bissau, São Tomé e Príncipe, Timor-Leste).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 a 5 revisores acadêmicos</w:t>
      </w:r>
      <w:r>
        <w:t xml:space="preserve"> </w:t>
      </w:r>
      <w:r>
        <w:t xml:space="preserve">indicados pela Comissão para</w:t>
      </w:r>
      <w:r>
        <w:t xml:space="preserve"> </w:t>
      </w:r>
      <w:r>
        <w:t xml:space="preserve">avaliação formal dos 71 enigmas existentes.</w:t>
      </w:r>
    </w:p>
    <w:p>
      <w:pPr>
        <w:pStyle w:val="BlockText"/>
      </w:pPr>
      <w:r>
        <w:rPr>
          <w:bCs/>
          <w:b/>
        </w:rPr>
        <w:t xml:space="preserve">Visual:</w:t>
      </w:r>
      <w:r>
        <w:t xml:space="preserve"> </w:t>
      </w:r>
      <w:r>
        <w:t xml:space="preserve">quatro caixas claras numeradas, com ícone simples em cada</w:t>
      </w:r>
      <w:r>
        <w:t xml:space="preserve"> </w:t>
      </w:r>
      <w:r>
        <w:t xml:space="preserve">(mesa de reunião, lupa, carta, rede de contatos).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slide-6-encerramento"/>
    <w:p>
      <w:pPr>
        <w:pStyle w:val="Heading1"/>
      </w:pPr>
      <w:r>
        <w:t xml:space="preserve">Slide 6 — Encerramento</w:t>
      </w:r>
    </w:p>
    <w:bookmarkStart w:id="37" w:name="quem-está-por-trás-do-sankofa"/>
    <w:p>
      <w:pPr>
        <w:pStyle w:val="Heading2"/>
      </w:pPr>
      <w:r>
        <w:t xml:space="preserve">Quem está por trás do Sankofa</w: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— natural da Guiné-Bissau, residente em São</w:t>
      </w:r>
      <w:r>
        <w:t xml:space="preserve"> </w:t>
      </w:r>
      <w:r>
        <w:t xml:space="preserve">Paulo desde 2017.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Bacharelado em Humanidades</w:t>
      </w:r>
      <w:r>
        <w:t xml:space="preserve"> </w:t>
      </w:r>
      <w:r>
        <w:t xml:space="preserve">— UNILAB (Universidade da Integração</w:t>
      </w:r>
      <w:r>
        <w:t xml:space="preserve"> </w:t>
      </w:r>
      <w:r>
        <w:t xml:space="preserve">Internacional da Lusofonia Afro-Brasileira), 2017.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— UNILAB, 2021.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Ciência da Computação</w:t>
      </w:r>
      <w:r>
        <w:t xml:space="preserve"> </w:t>
      </w:r>
      <w:r>
        <w:t xml:space="preserve">— Faculdade Impacta, 2024.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Pós em Ciência de Dados e IA</w:t>
      </w:r>
      <w:r>
        <w:t xml:space="preserve"> </w:t>
      </w:r>
      <w:r>
        <w:t xml:space="preserve">— XP Educação (em curso).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 anos como Software Engineer no Mercado Livre</w:t>
      </w:r>
      <w:r>
        <w:t xml:space="preserve"> </w:t>
      </w:r>
      <w:r>
        <w:t xml:space="preserve">(2022–2024).</w:t>
      </w:r>
    </w:p>
    <w:p>
      <w:pPr>
        <w:numPr>
          <w:ilvl w:val="0"/>
          <w:numId w:val="1007"/>
        </w:numPr>
        <w:pStyle w:val="Compact"/>
      </w:pPr>
      <w:r>
        <w:t xml:space="preserve">Auto-declaração:</w:t>
      </w:r>
      <w:r>
        <w:t xml:space="preserve"> </w:t>
      </w:r>
      <w:r>
        <w:rPr>
          <w:bCs/>
          <w:b/>
        </w:rPr>
        <w:t xml:space="preserve">Pessoa com Deficiência (PCD)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Afrodescendente (PPI)</w:t>
      </w:r>
      <w:r>
        <w:t xml:space="preserve">.</w:t>
      </w:r>
    </w:p>
    <w:bookmarkEnd w:id="37"/>
    <w:bookmarkStart w:id="38" w:name="por-que-este-projeto-existe"/>
    <w:p>
      <w:pPr>
        <w:pStyle w:val="Heading2"/>
      </w:pPr>
      <w:r>
        <w:t xml:space="preserve">Por que este projeto existe</w:t>
      </w:r>
    </w:p>
    <w:p>
      <w:pPr>
        <w:pStyle w:val="FirstParagraph"/>
      </w:pPr>
      <w:r>
        <w:t xml:space="preserve">Construí Sankofa porque, sendo um afrodescendente lusófono que</w:t>
      </w:r>
      <w:r>
        <w:t xml:space="preserve"> </w:t>
      </w:r>
      <w:r>
        <w:t xml:space="preserve">estudou Humanidades e Ciência da Computação,</w:t>
      </w:r>
      <w:r>
        <w:t xml:space="preserve"> </w:t>
      </w:r>
      <w:r>
        <w:rPr>
          <w:bCs/>
          <w:b/>
        </w:rPr>
        <w:t xml:space="preserve">senti a falta</w:t>
      </w:r>
      <w:r>
        <w:t xml:space="preserve"> </w:t>
      </w:r>
      <w:r>
        <w:t xml:space="preserve">de</w:t>
      </w:r>
      <w:r>
        <w:t xml:space="preserve"> </w:t>
      </w:r>
      <w:r>
        <w:t xml:space="preserve">um material que contasse a minha história sem doer e sem reduzir</w:t>
      </w:r>
      <w:r>
        <w:t xml:space="preserve"> </w:t>
      </w:r>
      <w:r>
        <w:t xml:space="preserve">o continente africano à escravização. A UNESCO já fez o trabalho</w:t>
      </w:r>
      <w:r>
        <w:t xml:space="preserve"> </w:t>
      </w:r>
      <w:r>
        <w:t xml:space="preserve">historiográfico mais importante do século passado nessa direção.</w:t>
      </w:r>
      <w:r>
        <w:t xml:space="preserve"> </w:t>
      </w:r>
      <w:r>
        <w:t xml:space="preserve">O que cabe à minha geração, que cresceu com o celular na mão, é</w:t>
      </w:r>
      <w:r>
        <w:t xml:space="preserve"> </w:t>
      </w:r>
      <w:r>
        <w:rPr>
          <w:bCs/>
          <w:b/>
        </w:rPr>
        <w:t xml:space="preserve">carregar essa obra para onde ela ainda não chegou</w:t>
      </w:r>
      <w:r>
        <w:t xml:space="preserve"> </w:t>
      </w:r>
      <w:r>
        <w:t xml:space="preserve">— em</w:t>
      </w:r>
      <w:r>
        <w:t xml:space="preserve"> </w:t>
      </w:r>
      <w:r>
        <w:t xml:space="preserve">linguagem contemporânea, com leveza, com rigor, e com som de</w:t>
      </w:r>
      <w:r>
        <w:t xml:space="preserve"> </w:t>
      </w:r>
      <w:r>
        <w:t xml:space="preserve">djembe.</w:t>
      </w:r>
    </w:p>
    <w:bookmarkEnd w:id="38"/>
    <w:bookmarkStart w:id="39" w:name="para-conhecer-o-projeto"/>
    <w:p>
      <w:pPr>
        <w:pStyle w:val="Heading2"/>
      </w:pPr>
      <w:r>
        <w:t xml:space="preserve">Para conhecer o projeto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Aplicativo 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https://www.sankofahga.com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https://github.com/filipebuba/sankofa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nhadafilipe@gmail.com · flifnhada@hotmail.com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 11 98483-7997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linkedin.com/in/filipe-buba</w:t>
            </w:r>
          </w:p>
        </w:tc>
      </w:tr>
    </w:tbl>
    <w:p>
      <w:pPr>
        <w:pStyle w:val="BlockText"/>
      </w:pPr>
      <w:r>
        <w:rPr>
          <w:bCs/>
          <w:b/>
        </w:rPr>
        <w:t xml:space="preserve">Visual:</w:t>
      </w:r>
      <w:r>
        <w:t xml:space="preserve"> </w:t>
      </w:r>
      <w:r>
        <w:t xml:space="preserve">foto do autor (opcional) + QR Code do aplicativo +</w:t>
      </w:r>
      <w:r>
        <w:t xml:space="preserve"> </w:t>
      </w:r>
      <w:r>
        <w:t xml:space="preserve">pássaro Sankofa no canto inferior. Dispositivo móvel mostrando a</w:t>
      </w:r>
      <w:r>
        <w:t xml:space="preserve"> </w:t>
      </w:r>
      <w:r>
        <w:t xml:space="preserve">tela do mapa de mundos.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isclaimer-obrigatório-unesco-igo"/>
    <w:p>
      <w:pPr>
        <w:pStyle w:val="Heading1"/>
      </w:pPr>
      <w:r>
        <w:t xml:space="preserve">Disclaimer obrigatório UNESCO IGO</w:t>
      </w:r>
    </w:p>
    <w:p>
      <w:pPr>
        <w:pStyle w:val="BlockText"/>
      </w:pPr>
      <w:r>
        <w:rPr>
          <w:bCs/>
          <w:b/>
        </w:rPr>
        <w:t xml:space="preserve">The present work is not an official UNESCO publication and shall</w:t>
      </w:r>
      <w:r>
        <w:rPr>
          <w:bCs/>
          <w:b/>
        </w:rPr>
        <w:t xml:space="preserve"> </w:t>
      </w:r>
      <w:r>
        <w:rPr>
          <w:bCs/>
          <w:b/>
        </w:rPr>
        <w:t xml:space="preserve">not be considered as such.</w:t>
      </w:r>
    </w:p>
    <w:p>
      <w:pPr>
        <w:pStyle w:val="BlockText"/>
      </w:pPr>
      <w:r>
        <w:rPr>
          <w:iCs/>
          <w:i/>
        </w:rPr>
        <w:t xml:space="preserve">(Esta obra não é uma publicação oficial da UNESCO e não deve ser</w:t>
      </w:r>
      <w:r>
        <w:rPr>
          <w:iCs/>
          <w:i/>
        </w:rPr>
        <w:t xml:space="preserve"> </w:t>
      </w:r>
      <w:r>
        <w:rPr>
          <w:iCs/>
          <w:i/>
        </w:rPr>
        <w:t xml:space="preserve">considerada como tal.)</w:t>
      </w:r>
    </w:p>
    <w:p>
      <w:r>
        <w:pict>
          <v:rect style="width:0;height:1.5pt" o:hralign="center" o:hrstd="t" o:hr="t"/>
        </w:pict>
      </w:r>
    </w:p>
    <w:bookmarkEnd w:id="41"/>
    <w:bookmarkStart w:id="42" w:name="atribuição-formal-à-unesco"/>
    <w:p>
      <w:pPr>
        <w:pStyle w:val="Heading1"/>
      </w:pPr>
      <w:r>
        <w:t xml:space="preserve">Atribuição formal à UNESCO</w:t>
      </w:r>
    </w:p>
    <w:p>
      <w:pPr>
        <w:pStyle w:val="BlockText"/>
      </w:pPr>
      <w:r>
        <w:t xml:space="preserve">UNESCO &amp; International Scientific Committee for the Drafting of a</w:t>
      </w:r>
      <w:r>
        <w:t xml:space="preserve"> </w:t>
      </w:r>
      <w:r>
        <w:t xml:space="preserve">General History of Africa.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, Volumes I–VIII.</w:t>
      </w:r>
      <w:r>
        <w:t xml:space="preserve"> </w:t>
      </w:r>
      <w:r>
        <w:t xml:space="preserve">Paris: UNESCO Publishing, 1981–1993. Texto sob Creative Commons</w:t>
      </w:r>
      <w:r>
        <w:t xml:space="preserve"> </w:t>
      </w:r>
      <w:r>
        <w:t xml:space="preserve">CC BY-SA IGO 3.0.</w:t>
      </w:r>
    </w:p>
    <w:p>
      <w:r>
        <w:pict>
          <v:rect style="width:0;height:1.5pt" o:hralign="center" o:hrstd="t" o:hr="t"/>
        </w:pict>
      </w:r>
    </w:p>
    <w:bookmarkEnd w:id="42"/>
    <w:bookmarkStart w:id="43" w:name="notas-internas-não-enviar"/>
    <w:p>
      <w:pPr>
        <w:pStyle w:val="Heading1"/>
      </w:pPr>
      <w:r>
        <w:t xml:space="preserve">Notas internas (não enviar)</w:t>
      </w:r>
    </w:p>
    <w:p>
      <w:pPr>
        <w:pStyle w:val="FirstParagraph"/>
      </w:pPr>
      <w:r>
        <w:t xml:space="preserve">Este deck</w:t>
      </w:r>
      <w:r>
        <w:t xml:space="preserve"> </w:t>
      </w:r>
      <w:r>
        <w:rPr>
          <w:bCs/>
          <w:b/>
        </w:rPr>
        <w:t xml:space="preserve">não inclui</w:t>
      </w:r>
      <w:r>
        <w:t xml:space="preserve">, por escolha estratégica para audiência UNESCO:</w:t>
      </w:r>
    </w:p>
    <w:p>
      <w:pPr>
        <w:numPr>
          <w:ilvl w:val="0"/>
          <w:numId w:val="1008"/>
        </w:numPr>
        <w:pStyle w:val="Compact"/>
      </w:pPr>
      <w:r>
        <w:t xml:space="preserve">Análise de mercado (TAM/SAM/SOM).</w:t>
      </w:r>
    </w:p>
    <w:p>
      <w:pPr>
        <w:numPr>
          <w:ilvl w:val="0"/>
          <w:numId w:val="1008"/>
        </w:numPr>
        <w:pStyle w:val="Compact"/>
      </w:pPr>
      <w:r>
        <w:t xml:space="preserve">Composição de receita / projeções financeiras.</w:t>
      </w:r>
    </w:p>
    <w:p>
      <w:pPr>
        <w:numPr>
          <w:ilvl w:val="0"/>
          <w:numId w:val="1008"/>
        </w:numPr>
        <w:pStyle w:val="Compact"/>
      </w:pPr>
      <w:r>
        <w:t xml:space="preserve">Modalidades de patrocínio com placement de marca.</w:t>
      </w:r>
    </w:p>
    <w:p>
      <w:pPr>
        <w:numPr>
          <w:ilvl w:val="0"/>
          <w:numId w:val="1008"/>
        </w:numPr>
        <w:pStyle w:val="Compact"/>
      </w:pPr>
      <w:r>
        <w:t xml:space="preserve">Comparações competitivas agressivas.</w:t>
      </w:r>
    </w:p>
    <w:p>
      <w:pPr>
        <w:numPr>
          <w:ilvl w:val="0"/>
          <w:numId w:val="1008"/>
        </w:numPr>
        <w:pStyle w:val="Compact"/>
      </w:pPr>
      <w:r>
        <w:t xml:space="preserve">Captação via SAFE / equity.</w:t>
      </w:r>
    </w:p>
    <w:p>
      <w:pPr>
        <w:pStyle w:val="FirstParagraph"/>
      </w:pPr>
      <w:r>
        <w:t xml:space="preserve">Esses elementos permanecem disponíveis no deck principal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docs/PITCH-DECK.md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word/06-Pitch-Deck.docx</w:t>
      </w:r>
      <w:r>
        <w:t xml:space="preserve">) para apresentações</w:t>
      </w:r>
      <w:r>
        <w:t xml:space="preserve"> </w:t>
      </w:r>
      <w:r>
        <w:t xml:space="preserve">a investidores, patrocinadores ESG, escolas privadas e editais</w:t>
      </w:r>
      <w:r>
        <w:t xml:space="preserve"> </w:t>
      </w:r>
      <w:r>
        <w:t xml:space="preserve">não-UNESCO.</w:t>
      </w:r>
    </w:p>
    <w:p>
      <w:pPr>
        <w:pStyle w:val="BodyText"/>
      </w:pPr>
      <w:r>
        <w:t xml:space="preserve">Fontes utilizadas neste deck:</w:t>
      </w:r>
    </w:p>
    <w:p>
      <w:pPr>
        <w:numPr>
          <w:ilvl w:val="0"/>
          <w:numId w:val="1009"/>
        </w:numPr>
        <w:pStyle w:val="Compact"/>
      </w:pPr>
      <w:r>
        <w:t xml:space="preserve">INEP — Censo Escolar 2024 (números de estudantes, escolas,</w:t>
      </w:r>
      <w:r>
        <w:t xml:space="preserve"> </w:t>
      </w:r>
      <w:r>
        <w:t xml:space="preserve">docentes da educação básica brasileira).</w:t>
      </w:r>
    </w:p>
    <w:p>
      <w:pPr>
        <w:numPr>
          <w:ilvl w:val="0"/>
          <w:numId w:val="1009"/>
        </w:numPr>
        <w:pStyle w:val="Compact"/>
      </w:pPr>
      <w:r>
        <w:t xml:space="preserve">UNESCO —</w:t>
      </w:r>
      <w:r>
        <w:t xml:space="preserve"> </w:t>
      </w:r>
      <w:r>
        <w:rPr>
          <w:iCs/>
          <w:i/>
        </w:rPr>
        <w:t xml:space="preserve">General History of Africa</w:t>
      </w:r>
      <w:r>
        <w:t xml:space="preserve"> </w:t>
      </w:r>
      <w:r>
        <w:t xml:space="preserve">(8 volumes, 1981–1993)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Pedagogical Use of the General History of Africa Curriculum</w:t>
      </w:r>
      <w:r>
        <w:rPr>
          <w:iCs/>
          <w:i/>
        </w:rPr>
        <w:t xml:space="preserve"> </w:t>
      </w:r>
      <w:r>
        <w:rPr>
          <w:iCs/>
          <w:i/>
        </w:rPr>
        <w:t xml:space="preserve">Pathway</w:t>
      </w:r>
      <w:r>
        <w:t xml:space="preserve"> </w:t>
      </w:r>
      <w:r>
        <w:t xml:space="preserve">(atualizado em 2025–2026).</w:t>
      </w:r>
    </w:p>
    <w:p>
      <w:pPr>
        <w:numPr>
          <w:ilvl w:val="0"/>
          <w:numId w:val="1009"/>
        </w:numPr>
        <w:pStyle w:val="Compact"/>
      </w:pPr>
      <w:r>
        <w:t xml:space="preserve">ONU — Década Internacional dos Afrodescendentes 2025–2034.</w:t>
      </w:r>
    </w:p>
    <w:p>
      <w:pPr>
        <w:numPr>
          <w:ilvl w:val="0"/>
          <w:numId w:val="1009"/>
        </w:numPr>
        <w:pStyle w:val="Compact"/>
      </w:pPr>
      <w:r>
        <w:t xml:space="preserve">ODS 4 e ODS 10, Agenda 2030.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Versão 1 · 8 de maio de 2026 · Sankofa v1.5.8-dev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Sankofa — Fragmentos da África</dc:title>
  <dc:creator>Filipe Buba N’hada</dc:creator>
  <dc:language>pt-BR</dc:language>
  <cp:keywords/>
  <dcterms:created xsi:type="dcterms:W3CDTF">2026-05-08T18:03:29Z</dcterms:created>
  <dcterms:modified xsi:type="dcterms:W3CDTF">2026-05-08T18:03:29Z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Versão 1 — 8 de maio de 2026</vt:lpwstr>
  </property>
  <property fmtid="{D5CDD505-2E9C-101B-9397-08002B2CF9AE}" pid="3" name="subtitle">
    <vt:lpwstr>Pitch institucional · UNESCO</vt:lpwstr>
  </property>
</Properties>
</file>