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280"/>
          <w:sz w:val="20"/>
          <w:szCs w:val="20"/>
        </w:rPr>
        <w:t xml:space="preserve">ONMODE</w:t>
      </w:r>
    </w:p>
    <w:p>
      <w:pPr>
        <w:pStyle w:val="Title"/>
        <w:spacing w:after="60"/>
      </w:pPr>
      <w:r>
        <w:rPr>
          <w:b/>
          <w:bCs/>
          <w:sz w:val="34"/>
          <w:szCs w:val="34"/>
        </w:rPr>
        <w:t xml:space="preserve">Memorando de Entendimentos entre Sócios</w:t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Rascunho para discussão — versão 1 — 4 de setembro de 2026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EF3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line="290"/>
            </w:pPr>
            <w:r>
              <w:rPr>
                <w:b/>
                <w:bCs/>
                <w:color w:val="7A271A"/>
                <w:sz w:val="20"/>
                <w:szCs w:val="20"/>
              </w:rPr>
              <w:t xml:space="preserve">Isto é um rascunho de ponto de partida, não um contrato válido.</w:t>
            </w:r>
          </w:p>
          <w:p>
            <w:pPr>
              <w:spacing w:after="0" w:line="290"/>
            </w:pPr>
            <w:r>
              <w:rPr>
                <w:b w:val="false"/>
                <w:bCs w:val="false"/>
                <w:color w:val="7A271A"/>
                <w:sz w:val="20"/>
                <w:szCs w:val="20"/>
              </w:rPr>
              <w:t xml:space="preserve">Este documento organiza os pontos que Filipe e Arthur precisam alinhar sobre a sociedade da Onmode. Os itens marcados [A DECIDIR] ainda não foram combinados entre vocês — decidam entre si antes de levar isto a um advogado especializado em direito societário, que deve revisar e formalizar o documento final (Acordo de Sócios e, quando a empresa existir, Acordo de Quotistas/Contrato Social). Nada aqui tem validade jurídica até ser revisado e assinado nesse formato definitivo.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1. Partes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Filipe Pancieri — sócio, responsável por Produto e Tecnologia.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Arthur Picanço — sócio, responsável por Vendas e Negócios.</w:t>
      </w:r>
    </w:p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2. Objeto</w:t>
      </w:r>
    </w:p>
    <w:p>
      <w:pPr>
        <w:spacing w:after="140" w:line="300"/>
      </w:pPr>
      <w:r>
        <w:rPr>
          <w:sz w:val="21"/>
          <w:szCs w:val="21"/>
        </w:rPr>
        <w:t xml:space="preserve">Este memorando registra o entendimento entre Filipe e Arthur sobre a sociedade que opera o aplicativo Onmode, com vistas à formalização futura como sociedade limitada (LTDA) — a opção correta havendo dois sócios, já que o MEI não permite sociedade.</w:t>
      </w:r>
    </w:p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3. Participação societária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Filipe Pancieri: 50%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Arthur Picanço: 50%</w:t>
      </w:r>
    </w:p>
    <w:p>
      <w:pPr>
        <w:spacing w:after="140" w:line="300"/>
      </w:pPr>
      <w:r>
        <w:rPr>
          <w:i/>
          <w:iCs/>
          <w:color w:val="6B7280"/>
          <w:sz w:val="21"/>
          <w:szCs w:val="21"/>
        </w:rPr>
        <w:t xml:space="preserve">Sugestão a avaliar com o advogado: mesmo em uma divisão igualitária, é prática comum entre cofundadores adotar vesting — por exemplo, 1 ano de cliff e 4 anos de vesting total — pra proteger os dois caso um dos sócios saia cedo sem ter contribuído proporcionalmente ao que recebeu em quotas.</w:t>
      </w:r>
    </w:p>
    <w:p>
      <w:pPr>
        <w:spacing w:after="140" w:line="300"/>
      </w:pPr>
      <w:r>
        <w:rPr>
          <w:b/>
          <w:bCs/>
          <w:color w:val="B42318"/>
          <w:sz w:val="21"/>
          <w:szCs w:val="21"/>
        </w:rPr>
        <w:t xml:space="preserve">[A DECIDIR] </w:t>
      </w:r>
      <w:r>
        <w:rPr>
          <w:i/>
          <w:iCs/>
          <w:color w:val="6B7280"/>
          <w:sz w:val="21"/>
          <w:szCs w:val="21"/>
        </w:rPr>
        <w:t xml:space="preserve">Vocês aceitam um mecanismo de vesting? Se sim, com quais prazos?</w:t>
      </w:r>
    </w:p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4. Papéis e responsabilidades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Filipe: produto, tecnologia, operação e infraestrutura do app (desenvolvimento, banco de dados, integrações, assistente de IA).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Arthur: vendas, aquisição de clientes, parcerias, marketing e relacionamento comercial.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Decisões estratégicas da empresa são tomadas em conjunto pelos dois sócios, independente da área de origem.</w:t>
      </w:r>
    </w:p>
    <w:p>
      <w:pPr>
        <w:spacing w:after="140" w:line="300"/>
      </w:pPr>
      <w:r>
        <w:rPr>
          <w:b/>
          <w:bCs/>
          <w:color w:val="B42318"/>
          <w:sz w:val="21"/>
          <w:szCs w:val="21"/>
        </w:rPr>
        <w:t xml:space="preserve">[A DECIDIR] </w:t>
      </w:r>
      <w:r>
        <w:rPr>
          <w:i/>
          <w:iCs/>
          <w:color w:val="6B7280"/>
          <w:sz w:val="21"/>
          <w:szCs w:val="21"/>
        </w:rPr>
        <w:t xml:space="preserve">Algum dos dois vai se dedicar em tempo integral, ou os dois mantêm outra atividade em paralelo por enquanto? Há exclusividade (não trabalhar em projeto concorrente ao mesmo tempo)?</w:t>
      </w:r>
    </w:p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5. Governança e tomada de decisão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Decisões do dia a dia dentro da área de cada sócio (ex: Filipe decide sobre arquitetura técnica; Arthur decide sobre abordagem comercial) são tomadas individualmente por quem é responsável pela área.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Decisões estratégicas — levantar investimento, vender a empresa ou parte dela, admitir novo sócio, alterar o percentual societário, contrair dívida acima de um valor combinado, encerrar a operação — exigem acordo dos dois sócios (unanimidade, já que são apenas dois sócios com 50% cada).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Em caso de impasse entre os dois (deadlock) numa decisão estratégica: sugestão de cláusula de mediação obrigatória antes de qualquer disputa formal, com arbitragem como última instância.</w:t>
      </w:r>
    </w:p>
    <w:p>
      <w:pPr>
        <w:spacing w:after="140" w:line="300"/>
      </w:pPr>
      <w:r>
        <w:rPr>
          <w:b/>
          <w:bCs/>
          <w:color w:val="B42318"/>
          <w:sz w:val="21"/>
          <w:szCs w:val="21"/>
        </w:rPr>
        <w:t xml:space="preserve">[A DECIDIR] </w:t>
      </w:r>
      <w:r>
        <w:rPr>
          <w:i/>
          <w:iCs/>
          <w:color w:val="6B7280"/>
          <w:sz w:val="21"/>
          <w:szCs w:val="21"/>
        </w:rPr>
        <w:t xml:space="preserve">Qual valor de dívida/gasto isolado passa a exigir acordo dos dois, em vez de decisão individual da área?</w:t>
      </w:r>
    </w:p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6. Distribuição de lucros</w:t>
      </w:r>
    </w:p>
    <w:p>
      <w:pPr>
        <w:spacing w:after="140" w:line="300"/>
      </w:pPr>
      <w:r>
        <w:rPr>
          <w:b/>
          <w:bCs/>
          <w:color w:val="B42318"/>
          <w:sz w:val="21"/>
          <w:szCs w:val="21"/>
        </w:rPr>
        <w:t xml:space="preserve">[A DECIDIR] </w:t>
      </w:r>
      <w:r>
        <w:rPr>
          <w:i/>
          <w:iCs/>
          <w:color w:val="6B7280"/>
          <w:sz w:val="21"/>
          <w:szCs w:val="21"/>
        </w:rPr>
        <w:t xml:space="preserve">Lucros são distribuídos 50/50 conforme apurados, ou reinvestidos até algum marco (ex: caixa mínimo de X meses de operação) antes de qualquer distribuição?</w:t>
      </w:r>
    </w:p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7. Aportes financeiros já feitos</w:t>
      </w:r>
    </w:p>
    <w:p>
      <w:pPr>
        <w:spacing w:after="140" w:line="300"/>
      </w:pPr>
      <w:r>
        <w:rPr>
          <w:sz w:val="21"/>
          <w:szCs w:val="21"/>
        </w:rPr>
        <w:t xml:space="preserve">Até a formalização da empresa, os custos operacionais (Supabase, Vercel, Anthropic/IA, Asaas, domínio) precisam ficar registrados por quem pagou, pra acerto de contas quando a empresa existir.</w:t>
      </w:r>
    </w:p>
    <w:p>
      <w:pPr>
        <w:spacing w:after="140" w:line="300"/>
      </w:pPr>
      <w:r>
        <w:rPr>
          <w:b/>
          <w:bCs/>
          <w:color w:val="B42318"/>
          <w:sz w:val="21"/>
          <w:szCs w:val="21"/>
        </w:rPr>
        <w:t xml:space="preserve">[A DECIDIR] </w:t>
      </w:r>
      <w:r>
        <w:rPr>
          <w:i/>
          <w:iCs/>
          <w:color w:val="6B7280"/>
          <w:sz w:val="21"/>
          <w:szCs w:val="21"/>
        </w:rPr>
        <w:t xml:space="preserve">Listar quem pagou o quê até agora, e se isso é dividido igualmente ou reembolsado pela empresa assim que houver caixa.</w:t>
      </w:r>
    </w:p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8. Propriedade intelectual</w:t>
      </w:r>
    </w:p>
    <w:p>
      <w:pPr>
        <w:spacing w:after="140" w:line="300"/>
      </w:pPr>
      <w:r>
        <w:rPr>
          <w:sz w:val="21"/>
          <w:szCs w:val="21"/>
        </w:rPr>
        <w:t xml:space="preserve">O código-fonte do Onmode, a marca, o conteúdo e os dados da aplicação pertencem à sociedade (e, assim que formalizada, à pessoa jurídica) — não a nenhum sócio individualmente, mesmo que hospedados hoje em contas pessoais.</w:t>
      </w:r>
    </w:p>
    <w:p>
      <w:pPr>
        <w:spacing w:after="140" w:line="300"/>
      </w:pPr>
      <w:r>
        <w:rPr>
          <w:i/>
          <w:iCs/>
          <w:color w:val="6B7280"/>
          <w:sz w:val="21"/>
          <w:szCs w:val="21"/>
        </w:rPr>
        <w:t xml:space="preserve">Recomendação prática: migrar o repositório de código e as contas de infraestrutura (Vercel, Supabase, Asaas, domínio) pra uma organização/conta compartilhada entre os dois sócios assim que possível, em vez de ficarem presas à conta pessoal de um só.</w:t>
      </w:r>
    </w:p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9. Saída de um sócio</w:t>
      </w:r>
    </w:p>
    <w:p>
      <w:pPr>
        <w:spacing w:after="140" w:line="300"/>
      </w:pPr>
      <w:r>
        <w:rPr>
          <w:sz w:val="21"/>
          <w:szCs w:val="21"/>
        </w:rPr>
        <w:t xml:space="preserve">Se um dos sócios quiser sair da sociedade, ou precisar ser desligado por justa causa (ex: abandono, concorrência desleal), sugere-se: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Direito de preferência do sócio remanescente para comprar a quota do que está saindo, antes de qualquer venda a terceiros.</w:t>
      </w:r>
    </w:p>
    <w:p>
      <w:pPr>
        <w:spacing w:after="140" w:line="300"/>
      </w:pPr>
      <w:r>
        <w:rPr>
          <w:b/>
          <w:bCs/>
          <w:color w:val="B42318"/>
          <w:sz w:val="21"/>
          <w:szCs w:val="21"/>
        </w:rPr>
        <w:t xml:space="preserve">[A DECIDIR] </w:t>
      </w:r>
      <w:r>
        <w:rPr>
          <w:i/>
          <w:iCs/>
          <w:color w:val="6B7280"/>
          <w:sz w:val="21"/>
          <w:szCs w:val="21"/>
        </w:rPr>
        <w:t xml:space="preserve">Critério de precificação da quota na saída: valor contábil, múltiplo de faturamento/lucro, avaliação por terceiro independente?</w:t>
      </w:r>
    </w:p>
    <w:p>
      <w:pPr>
        <w:spacing w:after="140" w:line="300"/>
      </w:pPr>
      <w:r>
        <w:rPr>
          <w:b/>
          <w:bCs/>
          <w:color w:val="B42318"/>
          <w:sz w:val="21"/>
          <w:szCs w:val="21"/>
        </w:rPr>
        <w:t xml:space="preserve">[A DECIDIR] </w:t>
      </w:r>
      <w:r>
        <w:rPr>
          <w:i/>
          <w:iCs/>
          <w:color w:val="6B7280"/>
          <w:sz w:val="21"/>
          <w:szCs w:val="21"/>
        </w:rPr>
        <w:t xml:space="preserve">Prazo e forma de pagamento ao sócio que sai: à vista ou parcelado, em quantas vezes?</w:t>
      </w:r>
    </w:p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10. Não concorrência e confidencialidade</w:t>
      </w:r>
    </w:p>
    <w:p>
      <w:pPr>
        <w:spacing w:after="140" w:line="300"/>
      </w:pPr>
      <w:r>
        <w:rPr>
          <w:b/>
          <w:bCs/>
          <w:color w:val="B42318"/>
          <w:sz w:val="21"/>
          <w:szCs w:val="21"/>
        </w:rPr>
        <w:t xml:space="preserve">[A DECIDIR] </w:t>
      </w:r>
      <w:r>
        <w:rPr>
          <w:i/>
          <w:iCs/>
          <w:color w:val="6B7280"/>
          <w:sz w:val="21"/>
          <w:szCs w:val="21"/>
        </w:rPr>
        <w:t xml:space="preserve">Por quanto tempo após a saída de um sócio ele fica proibido de atuar em negócio diretamente concorrente ao Onmode? (comum: 12 a 24 meses)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Informações da empresa — dados de usuários, código-fonte, informações financeiras e comerciais — são confidenciais entre os sócios e não podem ser usadas fora da sociedade.</w:t>
      </w:r>
    </w:p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11. Conta de recebimento (Asaas) até a formalização</w:t>
      </w:r>
    </w:p>
    <w:p>
      <w:pPr>
        <w:spacing w:after="140" w:line="300"/>
      </w:pPr>
      <w:r>
        <w:rPr>
          <w:sz w:val="21"/>
          <w:szCs w:val="21"/>
        </w:rPr>
        <w:t xml:space="preserve">Enquanto a empresa não tem CNPJ próprio, a conta que recebe os pagamentos dos assinantes está vinculada ao CPF de um dos sócios.</w:t>
      </w:r>
    </w:p>
    <w:p>
      <w:pPr>
        <w:spacing w:after="140" w:line="300"/>
      </w:pPr>
      <w:r>
        <w:rPr>
          <w:b/>
          <w:bCs/>
          <w:color w:val="B42318"/>
          <w:sz w:val="21"/>
          <w:szCs w:val="21"/>
        </w:rPr>
        <w:t xml:space="preserve">[A DECIDIR] </w:t>
      </w:r>
      <w:r>
        <w:rPr>
          <w:i/>
          <w:iCs/>
          <w:color w:val="6B7280"/>
          <w:sz w:val="21"/>
          <w:szCs w:val="21"/>
        </w:rPr>
        <w:t xml:space="preserve">De qual sócio é essa conta? E como os dois concordam que os valores recebidos nela — que pertencem à sociedade, não à pessoa física — serão repassados/divididos até a empresa ter conta própria?</w:t>
      </w:r>
    </w:p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12. Resolução de conflitos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Tentativa de resolução amigável e mediação em primeiro lugar.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Não havendo acordo, foro da comarca de Belém, Pará, ou arbitragem — a definir com o advogado qual mecanismo faz mais sentido pro porte da sociedade.</w:t>
      </w:r>
    </w:p>
    <w:p>
      <w:pPr>
        <w:pStyle w:val="Heading1"/>
        <w:spacing w:after="160" w:before="360"/>
      </w:pPr>
      <w:r>
        <w:rPr>
          <w:b/>
          <w:bCs/>
          <w:color w:val="111111"/>
          <w:sz w:val="26"/>
          <w:szCs w:val="26"/>
        </w:rPr>
        <w:t xml:space="preserve">13. Próximos passos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Filipe e Arthur revisam este rascunho juntos e preenchem os pontos marcados [A DECIDIR].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Levar a versão preenchida a um advogado especializado em direito societário/startups para redigir o documento juridicamente válido.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Formalizar como Acordo de Sócios (válido desde já, como pessoas físicas) e, na sequência, como Contrato Social da LTDA e Acordo de Quotistas complementar.</w:t>
      </w:r>
    </w:p>
    <w:p>
      <w:pPr>
        <w:spacing w:before="3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EF3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line="290"/>
            </w:pPr>
            <w:r>
              <w:rPr>
                <w:b/>
                <w:bCs/>
                <w:color w:val="7A271A"/>
                <w:sz w:val="20"/>
                <w:szCs w:val="20"/>
              </w:rPr>
              <w:t xml:space="preserve">Assinatura</w:t>
            </w:r>
          </w:p>
          <w:p>
            <w:pPr>
              <w:spacing w:after="0" w:line="290"/>
            </w:pPr>
            <w:r>
              <w:rPr>
                <w:b w:val="false"/>
                <w:bCs w:val="false"/>
                <w:color w:val="7A271A"/>
                <w:sz w:val="20"/>
                <w:szCs w:val="20"/>
              </w:rPr>
              <w:t xml:space="preserve">Este espaço é reservado para a assinatura de Filipe Pancieri e Arthur Picanço na versão final revisada pelo advogado — não assinem este rascunho como está.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2026-09-04T10:58:44.190Z</dcterms:created>
  <dcterms:modified xsi:type="dcterms:W3CDTF">2026-09-04T10:58:44.190Z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