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6AE" w:rsidRDefault="001166AE"/>
    <w:p w:rsidR="001166AE" w:rsidRDefault="001166AE"/>
    <w:p w:rsidR="001166AE" w:rsidRDefault="001166AE"/>
    <w:p w:rsidR="00D849B0" w:rsidRDefault="005B784B" w:rsidP="00526E93">
      <w:pPr>
        <w:pStyle w:val="Heading1"/>
      </w:pPr>
      <w:r>
        <w:t xml:space="preserve">FEAS Inshore Sampling </w:t>
      </w:r>
      <w:r w:rsidR="000E1EF1">
        <w:t>Overview</w:t>
      </w:r>
      <w:r>
        <w:t>.</w:t>
      </w:r>
    </w:p>
    <w:p w:rsidR="005B784B" w:rsidRDefault="005B784B"/>
    <w:p w:rsidR="001166AE" w:rsidRDefault="001166AE" w:rsidP="00526E93">
      <w:pPr>
        <w:pStyle w:val="Heading2"/>
      </w:pPr>
      <w:r>
        <w:t>At Sea observer programme</w:t>
      </w:r>
    </w:p>
    <w:p w:rsidR="000E1EF1" w:rsidRDefault="005B784B">
      <w:r>
        <w:t xml:space="preserve">Due to the nature </w:t>
      </w:r>
      <w:r w:rsidR="001166AE">
        <w:t>o</w:t>
      </w:r>
      <w:r>
        <w:t>f Inshore Fisheries in Ireland sampling is carried out in targeted sampling frames consistent with management boundaries and/or</w:t>
      </w:r>
      <w:r w:rsidR="00A90309">
        <w:t xml:space="preserve"> the</w:t>
      </w:r>
      <w:r>
        <w:t xml:space="preserve"> spatial distribution of the fishery and its associated fleet. For example </w:t>
      </w:r>
      <w:r w:rsidR="00A90309">
        <w:t>t</w:t>
      </w:r>
      <w:r>
        <w:t xml:space="preserve">he </w:t>
      </w:r>
      <w:r w:rsidR="00A90309">
        <w:t>oyster fisheries</w:t>
      </w:r>
      <w:r>
        <w:t xml:space="preserve"> sampling is targeted according to the spatial distribution of the </w:t>
      </w:r>
      <w:r w:rsidR="00A90309">
        <w:t xml:space="preserve">oyster </w:t>
      </w:r>
      <w:r>
        <w:t>bed</w:t>
      </w:r>
      <w:r w:rsidR="00A90309">
        <w:t>s</w:t>
      </w:r>
      <w:r>
        <w:t xml:space="preserve"> and the effective management boundary</w:t>
      </w:r>
      <w:r w:rsidR="00225D52">
        <w:t xml:space="preserve"> i.e Tralee Bay, Lough Swilly et</w:t>
      </w:r>
      <w:r w:rsidR="00A90309">
        <w:t>c</w:t>
      </w:r>
      <w:r w:rsidR="00225D52">
        <w:t>... while the lobster and crab fishery is sampled by targeted sampling in geographic</w:t>
      </w:r>
      <w:r w:rsidR="000E1EF1">
        <w:t xml:space="preserve">ally defined areas of operation, </w:t>
      </w:r>
      <w:r w:rsidR="001166AE">
        <w:t>North west, West, South west, South east, Irish Sea</w:t>
      </w:r>
      <w:r w:rsidR="000E1EF1">
        <w:t xml:space="preserve">. </w:t>
      </w:r>
    </w:p>
    <w:p w:rsidR="000E1EF1" w:rsidRDefault="000E1EF1"/>
    <w:p w:rsidR="000E1EF1" w:rsidRDefault="000E1EF1">
      <w:r>
        <w:t>Sampling targets for each frame are defined at the start of the year and field sampling is carried out throughout the respec</w:t>
      </w:r>
      <w:r w:rsidR="00A90309">
        <w:t>tive season to meet the</w:t>
      </w:r>
      <w:r>
        <w:t xml:space="preserve">se targets. </w:t>
      </w:r>
      <w:r w:rsidR="001166AE">
        <w:t xml:space="preserve">Targets are not design based as vessels under 10m do not report catch and are more defined by the capacity of the programme to undertake a given number of trips per season per sampling frame. </w:t>
      </w:r>
      <w:r>
        <w:t xml:space="preserve">The </w:t>
      </w:r>
      <w:r w:rsidR="001166AE">
        <w:t xml:space="preserve">field </w:t>
      </w:r>
      <w:r>
        <w:t>sampling is carried out by a combination of Marine Institute staff and external contractors all working to the fishery</w:t>
      </w:r>
      <w:r w:rsidR="003F1283">
        <w:t>/species</w:t>
      </w:r>
      <w:r>
        <w:t xml:space="preserve"> specific Standard Operating Procedure</w:t>
      </w:r>
      <w:r w:rsidR="00590ACF">
        <w:t xml:space="preserve"> (SOP)</w:t>
      </w:r>
      <w:r>
        <w:t xml:space="preserve"> as described </w:t>
      </w:r>
      <w:r w:rsidR="00873CFD">
        <w:t xml:space="preserve">in accompanying documents. The services of the external contractors are assigned to the targeted geographical areas with a defined sampling target following a </w:t>
      </w:r>
      <w:r w:rsidR="001166AE">
        <w:t xml:space="preserve">Competitive </w:t>
      </w:r>
      <w:r w:rsidR="00873CFD">
        <w:t>Tendering Process of our approved contractors.</w:t>
      </w:r>
    </w:p>
    <w:p w:rsidR="008674A8" w:rsidRDefault="008674A8" w:rsidP="008674A8"/>
    <w:p w:rsidR="008674A8" w:rsidRDefault="008674A8" w:rsidP="008674A8">
      <w:r>
        <w:t>As not all vessels operating in the Inshore Fleet are obliged to record their catch in log books (i.e</w:t>
      </w:r>
      <w:r w:rsidR="001166AE">
        <w:t xml:space="preserve"> vessels </w:t>
      </w:r>
      <w:r>
        <w:t>&lt;10m overall length) a subset of the inshore fleet are issued with a log wh</w:t>
      </w:r>
      <w:r w:rsidR="00A90309">
        <w:t>ere they record their catch/</w:t>
      </w:r>
      <w:r>
        <w:t>effort data with associated economic data. This</w:t>
      </w:r>
      <w:r w:rsidR="00590ACF">
        <w:t xml:space="preserve"> self-sampling</w:t>
      </w:r>
      <w:r>
        <w:t xml:space="preserve"> programme </w:t>
      </w:r>
      <w:r w:rsidR="00233482">
        <w:t xml:space="preserve">is known </w:t>
      </w:r>
      <w:r>
        <w:t xml:space="preserve">as the Sentential Vessel Programme, </w:t>
      </w:r>
      <w:r w:rsidR="00590ACF">
        <w:t>(</w:t>
      </w:r>
      <w:r>
        <w:t>SVP</w:t>
      </w:r>
      <w:r w:rsidR="00590ACF">
        <w:t>)</w:t>
      </w:r>
      <w:r w:rsidR="00A90309">
        <w:t xml:space="preserve"> and</w:t>
      </w:r>
      <w:r w:rsidR="00233482">
        <w:t xml:space="preserve"> is a joint project run in collaboration with BIM.</w:t>
      </w:r>
      <w:r w:rsidR="001166AE">
        <w:t xml:space="preserve"> The sampling effort in the ‘at sea observer programme’ is split between SVP and non SVP vessels.</w:t>
      </w:r>
    </w:p>
    <w:p w:rsidR="000E1EF1" w:rsidRDefault="000E1EF1"/>
    <w:p w:rsidR="00176167" w:rsidRDefault="00176167">
      <w:pPr>
        <w:rPr>
          <w:rFonts w:asciiTheme="majorHAnsi" w:eastAsiaTheme="majorEastAsia" w:hAnsiTheme="majorHAnsi" w:cstheme="majorBidi"/>
          <w:color w:val="365F91" w:themeColor="accent1" w:themeShade="BF"/>
          <w:sz w:val="26"/>
          <w:szCs w:val="26"/>
        </w:rPr>
      </w:pPr>
      <w:r>
        <w:br w:type="page"/>
      </w:r>
    </w:p>
    <w:p w:rsidR="001166AE" w:rsidRDefault="001166AE" w:rsidP="00526E93">
      <w:pPr>
        <w:pStyle w:val="Heading2"/>
      </w:pPr>
      <w:r>
        <w:lastRenderedPageBreak/>
        <w:t>Port sampling programme</w:t>
      </w:r>
    </w:p>
    <w:p w:rsidR="001166AE" w:rsidRDefault="00526E93">
      <w:r>
        <w:t>“Port sampling” is carried out at shellfish processing companies which act as collection points for landings made at numerous small harbours in the defined geographical area</w:t>
      </w:r>
      <w:r w:rsidR="007910BD">
        <w:t>s</w:t>
      </w:r>
      <w:r>
        <w:t>. Port sampling occurs</w:t>
      </w:r>
      <w:r w:rsidRPr="00526E93">
        <w:t xml:space="preserve"> </w:t>
      </w:r>
      <w:r>
        <w:t>in the South East</w:t>
      </w:r>
      <w:r w:rsidR="007910BD">
        <w:t>/Irish Sea</w:t>
      </w:r>
      <w:r>
        <w:t xml:space="preserve"> at </w:t>
      </w:r>
      <w:proofErr w:type="spellStart"/>
      <w:r>
        <w:t>Sofrimar</w:t>
      </w:r>
      <w:proofErr w:type="spellEnd"/>
      <w:r>
        <w:t xml:space="preserve">, South at Shellfish De Le </w:t>
      </w:r>
      <w:proofErr w:type="spellStart"/>
      <w:r>
        <w:t>Mer</w:t>
      </w:r>
      <w:proofErr w:type="spellEnd"/>
      <w:r w:rsidR="007910BD">
        <w:t xml:space="preserve">, </w:t>
      </w:r>
      <w:r>
        <w:t xml:space="preserve">West at </w:t>
      </w:r>
      <w:proofErr w:type="spellStart"/>
      <w:r>
        <w:t>Breizon</w:t>
      </w:r>
      <w:proofErr w:type="spellEnd"/>
      <w:r>
        <w:t xml:space="preserve"> </w:t>
      </w:r>
      <w:proofErr w:type="spellStart"/>
      <w:r>
        <w:t>Teo</w:t>
      </w:r>
      <w:proofErr w:type="spellEnd"/>
      <w:r>
        <w:t xml:space="preserve"> and Northwest at </w:t>
      </w:r>
      <w:proofErr w:type="spellStart"/>
      <w:r>
        <w:t>Errigal</w:t>
      </w:r>
      <w:proofErr w:type="spellEnd"/>
      <w:r>
        <w:t xml:space="preserve"> Bay </w:t>
      </w:r>
      <w:proofErr w:type="spellStart"/>
      <w:r>
        <w:t>Seafoods</w:t>
      </w:r>
      <w:proofErr w:type="spellEnd"/>
      <w:r>
        <w:t xml:space="preserve">. Sampling is </w:t>
      </w:r>
      <w:r w:rsidR="007910BD">
        <w:t>at vessel level and generally of unsorted catch. Where catch is sorted the sampling</w:t>
      </w:r>
      <w:r w:rsidR="00176167">
        <w:t xml:space="preserve"> effort</w:t>
      </w:r>
      <w:r w:rsidR="007910BD">
        <w:t xml:space="preserve"> is </w:t>
      </w:r>
      <w:r w:rsidR="00983602">
        <w:t>representative</w:t>
      </w:r>
      <w:r w:rsidR="007910BD">
        <w:t xml:space="preserve"> across the grades.</w:t>
      </w:r>
      <w:r w:rsidR="00176167">
        <w:t xml:space="preserve"> Multiple vessels are sampled during each sampling event.</w:t>
      </w:r>
      <w:r w:rsidR="007910BD">
        <w:t xml:space="preserve"> The processors provide a breakdown of the catch landed by vessels as requested for</w:t>
      </w:r>
      <w:r w:rsidR="00176167">
        <w:t xml:space="preserve"> the sampling event. </w:t>
      </w:r>
      <w:r w:rsidR="00DD2CC5">
        <w:t>As with the at sea sampling, port sampling targe</w:t>
      </w:r>
      <w:bookmarkStart w:id="0" w:name="_GoBack"/>
      <w:bookmarkEnd w:id="0"/>
      <w:r w:rsidR="00DD2CC5">
        <w:t>ts are not design based as vessels under 10m do not report catch and are more defined by the capacity of the programme to undertake a given number of sampling events per season per sampling frame.</w:t>
      </w:r>
      <w:r w:rsidR="00176167">
        <w:t xml:space="preserve"> Port based staff carry out the port sampling with assistance as required from staff based at HQ. An online tracking system is used to ensure that the sampling targets are met and tracked. </w:t>
      </w:r>
    </w:p>
    <w:p w:rsidR="00526E93" w:rsidRDefault="00526E93"/>
    <w:p w:rsidR="00176167" w:rsidRDefault="00176167">
      <w:pPr>
        <w:rPr>
          <w:rFonts w:asciiTheme="majorHAnsi" w:eastAsiaTheme="majorEastAsia" w:hAnsiTheme="majorHAnsi" w:cstheme="majorBidi"/>
          <w:color w:val="365F91" w:themeColor="accent1" w:themeShade="BF"/>
          <w:sz w:val="26"/>
          <w:szCs w:val="26"/>
        </w:rPr>
      </w:pPr>
    </w:p>
    <w:p w:rsidR="001166AE" w:rsidRDefault="001166AE" w:rsidP="00526E93">
      <w:pPr>
        <w:pStyle w:val="Heading2"/>
      </w:pPr>
      <w:r>
        <w:t>Data handling</w:t>
      </w:r>
    </w:p>
    <w:p w:rsidR="000E1EF1" w:rsidRDefault="00233482">
      <w:r>
        <w:t>On return from fi</w:t>
      </w:r>
      <w:r w:rsidR="000E1EF1">
        <w:t>e</w:t>
      </w:r>
      <w:r>
        <w:t>l</w:t>
      </w:r>
      <w:r w:rsidR="000E1EF1">
        <w:t>d sampling the raw data is screen</w:t>
      </w:r>
      <w:r w:rsidR="008674A8">
        <w:t>ed</w:t>
      </w:r>
      <w:r w:rsidR="000E1EF1">
        <w:t xml:space="preserve"> for possible errors and entered into sampling type specific </w:t>
      </w:r>
      <w:r w:rsidR="005852D7">
        <w:t xml:space="preserve">Excel </w:t>
      </w:r>
      <w:r w:rsidR="000E1EF1">
        <w:t>spreadsheets, i.e Observer Data, Survey Data, Commercial</w:t>
      </w:r>
      <w:r w:rsidR="008674A8">
        <w:t xml:space="preserve"> (SVP)</w:t>
      </w:r>
      <w:r w:rsidR="000E1EF1">
        <w:t xml:space="preserve"> Data</w:t>
      </w:r>
      <w:r w:rsidR="001F3EE9">
        <w:t xml:space="preserve"> (See Appendix 1.0)</w:t>
      </w:r>
      <w:r w:rsidR="008674A8">
        <w:t>.</w:t>
      </w:r>
      <w:r w:rsidR="005852D7">
        <w:t xml:space="preserve"> Here data validation checks (plotting of data, length/weight regressions etc...) are undertaken to ensure that the correct data is entered. Once data entry</w:t>
      </w:r>
      <w:r w:rsidR="00873CFD">
        <w:t xml:space="preserve"> and validation</w:t>
      </w:r>
      <w:r w:rsidR="001F3EE9">
        <w:t xml:space="preserve"> are</w:t>
      </w:r>
      <w:r w:rsidR="005852D7">
        <w:t xml:space="preserve"> complete the data </w:t>
      </w:r>
      <w:r w:rsidR="001166AE">
        <w:t xml:space="preserve">are </w:t>
      </w:r>
      <w:r w:rsidR="005852D7">
        <w:t xml:space="preserve">uploaded to the Inshore </w:t>
      </w:r>
      <w:r w:rsidR="00A90309">
        <w:t xml:space="preserve">SQL </w:t>
      </w:r>
      <w:r w:rsidR="005852D7">
        <w:t xml:space="preserve">Database using an upload utility developed in house. The upload utility is specific to each sampling type and ensures that the correct data in the correct format is </w:t>
      </w:r>
      <w:r w:rsidR="00A90309">
        <w:t>uploaded</w:t>
      </w:r>
      <w:r w:rsidR="00590ACF">
        <w:t xml:space="preserve"> </w:t>
      </w:r>
      <w:r w:rsidR="001F3EE9">
        <w:t>to the Inshore SQL Database.</w:t>
      </w:r>
      <w:r w:rsidR="00CB49A3">
        <w:t xml:space="preserve"> The SQL Inshore Database is designed and built by the in-house IT team to hold all inshore data and is designed to use common reference tables used across FEAS. Data used for analysis is extracting from the Inshore Database using SQL and analysed using appropriate packages such as R.</w:t>
      </w:r>
    </w:p>
    <w:p w:rsidR="005852D7" w:rsidRDefault="005852D7"/>
    <w:p w:rsidR="005852D7" w:rsidRDefault="005852D7">
      <w:r>
        <w:t xml:space="preserve">We are currently in the process of </w:t>
      </w:r>
      <w:r w:rsidR="001F3EE9">
        <w:t>developing</w:t>
      </w:r>
      <w:r>
        <w:t xml:space="preserve"> a Graphical User Interface, </w:t>
      </w:r>
      <w:r w:rsidR="00590ACF">
        <w:t>(</w:t>
      </w:r>
      <w:r>
        <w:t>GUI</w:t>
      </w:r>
      <w:r w:rsidR="00590ACF">
        <w:t>)</w:t>
      </w:r>
      <w:r w:rsidR="001F3EE9">
        <w:t xml:space="preserve"> for the Inshore Database</w:t>
      </w:r>
      <w:r>
        <w:t xml:space="preserve"> which will allow </w:t>
      </w:r>
      <w:r w:rsidR="001F3EE9">
        <w:t>the user enter</w:t>
      </w:r>
      <w:r w:rsidR="00590ACF">
        <w:t xml:space="preserve"> data </w:t>
      </w:r>
      <w:r w:rsidR="001F3EE9">
        <w:t>directly to the d</w:t>
      </w:r>
      <w:r>
        <w:t xml:space="preserve">atabase via a web enabled GUI. This will incorporate data validation checks and ensure that data is </w:t>
      </w:r>
      <w:r w:rsidR="001F3EE9">
        <w:t xml:space="preserve">validated and </w:t>
      </w:r>
      <w:r>
        <w:t>entered in the correct format with greater efficiency.</w:t>
      </w:r>
    </w:p>
    <w:p w:rsidR="00873CFD" w:rsidRDefault="00873CFD"/>
    <w:p w:rsidR="00873CFD" w:rsidRDefault="00873CFD">
      <w:r>
        <w:br w:type="page"/>
      </w:r>
    </w:p>
    <w:p w:rsidR="001166AE" w:rsidRDefault="001166AE"/>
    <w:p w:rsidR="001166AE" w:rsidRDefault="001166AE"/>
    <w:p w:rsidR="00A444C0" w:rsidRDefault="00A444C0">
      <w:r>
        <w:t>Appendix 1:</w:t>
      </w:r>
    </w:p>
    <w:p w:rsidR="00CB49A3" w:rsidRDefault="00A444C0">
      <w:r>
        <w:t>Tables 1-9 below are screen grabs of Inshore Data Entry Template associated with the SVP dataset.</w:t>
      </w:r>
    </w:p>
    <w:p w:rsidR="00E64644" w:rsidRDefault="007127D4">
      <w:r w:rsidRPr="007127D4">
        <w:rPr>
          <w:noProof/>
          <w:lang w:eastAsia="en-IE"/>
        </w:rPr>
        <w:drawing>
          <wp:inline distT="0" distB="0" distL="0" distR="0">
            <wp:extent cx="56007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0656"/>
                    </a:xfrm>
                    <a:prstGeom prst="rect">
                      <a:avLst/>
                    </a:prstGeom>
                    <a:noFill/>
                    <a:ln>
                      <a:noFill/>
                    </a:ln>
                  </pic:spPr>
                </pic:pic>
              </a:graphicData>
            </a:graphic>
          </wp:inline>
        </w:drawing>
      </w:r>
    </w:p>
    <w:p w:rsidR="007127D4" w:rsidRDefault="007127D4">
      <w:r>
        <w:t xml:space="preserve">Table 1.0 </w:t>
      </w:r>
      <w:r w:rsidR="00A444C0">
        <w:t xml:space="preserve">Inshore Upload Template: </w:t>
      </w:r>
      <w:r>
        <w:t xml:space="preserve">Metadata data entry </w:t>
      </w:r>
    </w:p>
    <w:p w:rsidR="007127D4" w:rsidRDefault="007127D4"/>
    <w:p w:rsidR="007127D4" w:rsidRDefault="007127D4">
      <w:r w:rsidRPr="007127D4">
        <w:rPr>
          <w:noProof/>
          <w:lang w:eastAsia="en-IE"/>
        </w:rPr>
        <w:drawing>
          <wp:inline distT="0" distB="0" distL="0" distR="0">
            <wp:extent cx="5731510" cy="527473"/>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27473"/>
                    </a:xfrm>
                    <a:prstGeom prst="rect">
                      <a:avLst/>
                    </a:prstGeom>
                    <a:noFill/>
                    <a:ln>
                      <a:noFill/>
                    </a:ln>
                  </pic:spPr>
                </pic:pic>
              </a:graphicData>
            </a:graphic>
          </wp:inline>
        </w:drawing>
      </w:r>
    </w:p>
    <w:p w:rsidR="007127D4" w:rsidRDefault="007127D4" w:rsidP="007127D4">
      <w:r>
        <w:t xml:space="preserve">Table 2.0 </w:t>
      </w:r>
      <w:r w:rsidR="00A444C0">
        <w:t xml:space="preserve">Inshore Upload Template: </w:t>
      </w:r>
      <w:r>
        <w:t>Events</w:t>
      </w:r>
      <w:r w:rsidR="00A444C0">
        <w:t xml:space="preserve"> D</w:t>
      </w:r>
      <w:r>
        <w:t xml:space="preserve">ata entry </w:t>
      </w:r>
    </w:p>
    <w:p w:rsidR="007127D4" w:rsidRDefault="007127D4"/>
    <w:p w:rsidR="007127D4" w:rsidRDefault="007127D4">
      <w:r w:rsidRPr="007127D4">
        <w:rPr>
          <w:noProof/>
          <w:lang w:eastAsia="en-IE"/>
        </w:rPr>
        <w:drawing>
          <wp:inline distT="0" distB="0" distL="0" distR="0">
            <wp:extent cx="6543675" cy="51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90328" cy="518979"/>
                    </a:xfrm>
                    <a:prstGeom prst="rect">
                      <a:avLst/>
                    </a:prstGeom>
                    <a:noFill/>
                    <a:ln>
                      <a:noFill/>
                    </a:ln>
                  </pic:spPr>
                </pic:pic>
              </a:graphicData>
            </a:graphic>
          </wp:inline>
        </w:drawing>
      </w:r>
    </w:p>
    <w:p w:rsidR="007127D4" w:rsidRDefault="007127D4" w:rsidP="007127D4">
      <w:r>
        <w:t xml:space="preserve">Table 3.0 </w:t>
      </w:r>
      <w:r w:rsidR="00A444C0">
        <w:t>Inshore Upload Template: Events Position D</w:t>
      </w:r>
      <w:r>
        <w:t xml:space="preserve">ata entry </w:t>
      </w:r>
    </w:p>
    <w:p w:rsidR="007127D4" w:rsidRDefault="007127D4"/>
    <w:p w:rsidR="007127D4" w:rsidRDefault="007127D4">
      <w:r w:rsidRPr="007127D4">
        <w:rPr>
          <w:noProof/>
          <w:lang w:eastAsia="en-IE"/>
        </w:rPr>
        <w:drawing>
          <wp:inline distT="0" distB="0" distL="0" distR="0">
            <wp:extent cx="6496050" cy="44911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6505" cy="453985"/>
                    </a:xfrm>
                    <a:prstGeom prst="rect">
                      <a:avLst/>
                    </a:prstGeom>
                    <a:noFill/>
                    <a:ln>
                      <a:noFill/>
                    </a:ln>
                  </pic:spPr>
                </pic:pic>
              </a:graphicData>
            </a:graphic>
          </wp:inline>
        </w:drawing>
      </w:r>
    </w:p>
    <w:p w:rsidR="00A444C0" w:rsidRDefault="00A444C0" w:rsidP="00A444C0">
      <w:r>
        <w:t xml:space="preserve">Table 4.0 Inshore Upload Template: Effort Data entry </w:t>
      </w:r>
    </w:p>
    <w:p w:rsidR="007127D4" w:rsidRDefault="007127D4"/>
    <w:p w:rsidR="007127D4" w:rsidRDefault="007127D4">
      <w:r w:rsidRPr="007127D4">
        <w:rPr>
          <w:noProof/>
          <w:lang w:eastAsia="en-IE"/>
        </w:rPr>
        <w:drawing>
          <wp:inline distT="0" distB="0" distL="0" distR="0">
            <wp:extent cx="6496050" cy="4784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47340" cy="482227"/>
                    </a:xfrm>
                    <a:prstGeom prst="rect">
                      <a:avLst/>
                    </a:prstGeom>
                    <a:noFill/>
                    <a:ln>
                      <a:noFill/>
                    </a:ln>
                  </pic:spPr>
                </pic:pic>
              </a:graphicData>
            </a:graphic>
          </wp:inline>
        </w:drawing>
      </w:r>
    </w:p>
    <w:p w:rsidR="00A444C0" w:rsidRDefault="00A444C0" w:rsidP="00A444C0">
      <w:r>
        <w:t xml:space="preserve">Table 5.0 Inshore Upload Template: Catch Data entry </w:t>
      </w:r>
    </w:p>
    <w:p w:rsidR="007127D4" w:rsidRDefault="007127D4"/>
    <w:p w:rsidR="007127D4" w:rsidRDefault="007127D4">
      <w:r w:rsidRPr="007127D4">
        <w:rPr>
          <w:noProof/>
          <w:lang w:eastAsia="en-IE"/>
        </w:rPr>
        <w:drawing>
          <wp:inline distT="0" distB="0" distL="0" distR="0">
            <wp:extent cx="6496050"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8994" cy="433438"/>
                    </a:xfrm>
                    <a:prstGeom prst="rect">
                      <a:avLst/>
                    </a:prstGeom>
                    <a:noFill/>
                    <a:ln>
                      <a:noFill/>
                    </a:ln>
                  </pic:spPr>
                </pic:pic>
              </a:graphicData>
            </a:graphic>
          </wp:inline>
        </w:drawing>
      </w:r>
    </w:p>
    <w:p w:rsidR="00A444C0" w:rsidRDefault="00A444C0" w:rsidP="00A444C0">
      <w:r>
        <w:t xml:space="preserve">Table 6.0 Inshore Upload Template: Biological Data entry </w:t>
      </w:r>
    </w:p>
    <w:p w:rsidR="007127D4" w:rsidRDefault="007127D4"/>
    <w:p w:rsidR="007127D4" w:rsidRDefault="007127D4">
      <w:r w:rsidRPr="007127D4">
        <w:rPr>
          <w:noProof/>
          <w:lang w:eastAsia="en-IE"/>
        </w:rPr>
        <w:drawing>
          <wp:inline distT="0" distB="0" distL="0" distR="0">
            <wp:extent cx="6382738" cy="619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3245" cy="623054"/>
                    </a:xfrm>
                    <a:prstGeom prst="rect">
                      <a:avLst/>
                    </a:prstGeom>
                    <a:noFill/>
                    <a:ln>
                      <a:noFill/>
                    </a:ln>
                  </pic:spPr>
                </pic:pic>
              </a:graphicData>
            </a:graphic>
          </wp:inline>
        </w:drawing>
      </w:r>
    </w:p>
    <w:p w:rsidR="00A444C0" w:rsidRDefault="00A444C0" w:rsidP="00A444C0">
      <w:r>
        <w:t xml:space="preserve">Table 7.0 Inshore Upload Template: Bait Species Data entry </w:t>
      </w:r>
    </w:p>
    <w:p w:rsidR="007127D4" w:rsidRDefault="007127D4"/>
    <w:p w:rsidR="007127D4" w:rsidRDefault="007127D4">
      <w:r w:rsidRPr="007127D4">
        <w:rPr>
          <w:noProof/>
          <w:lang w:eastAsia="en-IE"/>
        </w:rPr>
        <w:drawing>
          <wp:inline distT="0" distB="0" distL="0" distR="0">
            <wp:extent cx="4898418" cy="542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9650" cy="543061"/>
                    </a:xfrm>
                    <a:prstGeom prst="rect">
                      <a:avLst/>
                    </a:prstGeom>
                    <a:noFill/>
                    <a:ln>
                      <a:noFill/>
                    </a:ln>
                  </pic:spPr>
                </pic:pic>
              </a:graphicData>
            </a:graphic>
          </wp:inline>
        </w:drawing>
      </w:r>
    </w:p>
    <w:p w:rsidR="00A444C0" w:rsidRDefault="00A444C0" w:rsidP="00A444C0">
      <w:r>
        <w:t xml:space="preserve">Table 8.0 Inshore Upload Template: Fuel Purchased Data entry </w:t>
      </w:r>
    </w:p>
    <w:p w:rsidR="007127D4" w:rsidRDefault="007127D4">
      <w:r w:rsidRPr="007127D4">
        <w:rPr>
          <w:noProof/>
          <w:lang w:eastAsia="en-IE"/>
        </w:rPr>
        <w:drawing>
          <wp:inline distT="0" distB="0" distL="0" distR="0">
            <wp:extent cx="5731510" cy="608934"/>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08934"/>
                    </a:xfrm>
                    <a:prstGeom prst="rect">
                      <a:avLst/>
                    </a:prstGeom>
                    <a:noFill/>
                    <a:ln>
                      <a:noFill/>
                    </a:ln>
                  </pic:spPr>
                </pic:pic>
              </a:graphicData>
            </a:graphic>
          </wp:inline>
        </w:drawing>
      </w:r>
    </w:p>
    <w:p w:rsidR="00A444C0" w:rsidRDefault="00A444C0" w:rsidP="00A444C0">
      <w:r>
        <w:t xml:space="preserve">Table 9.0 Inshore Upload Template: Prices Data entry </w:t>
      </w:r>
    </w:p>
    <w:p w:rsidR="00E64644" w:rsidRDefault="00E64644"/>
    <w:p w:rsidR="00CB49A3" w:rsidRDefault="00CB49A3"/>
    <w:p w:rsidR="00CB49A3" w:rsidRDefault="00CB49A3"/>
    <w:p w:rsidR="00873CFD" w:rsidRDefault="00873CFD"/>
    <w:p w:rsidR="00873CFD" w:rsidRDefault="007127D4">
      <w:r>
        <w:t>Figure 1.0: Data Model of the Inshore Database.</w:t>
      </w:r>
    </w:p>
    <w:p w:rsidR="00873CFD" w:rsidRDefault="00873CFD" w:rsidP="00873CFD">
      <w:pPr>
        <w:jc w:val="center"/>
      </w:pPr>
      <w:r>
        <w:rPr>
          <w:noProof/>
          <w:lang w:eastAsia="en-IE"/>
        </w:rPr>
        <w:drawing>
          <wp:inline distT="0" distB="0" distL="0" distR="0">
            <wp:extent cx="6220949" cy="4381123"/>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8193" cy="4379182"/>
                    </a:xfrm>
                    <a:prstGeom prst="rect">
                      <a:avLst/>
                    </a:prstGeom>
                    <a:noFill/>
                    <a:ln>
                      <a:noFill/>
                    </a:ln>
                  </pic:spPr>
                </pic:pic>
              </a:graphicData>
            </a:graphic>
          </wp:inline>
        </w:drawing>
      </w:r>
    </w:p>
    <w:p w:rsidR="005852D7" w:rsidRDefault="005852D7"/>
    <w:p w:rsidR="00873CFD" w:rsidRDefault="00873CFD">
      <w:r>
        <w:br w:type="page"/>
      </w:r>
    </w:p>
    <w:p w:rsidR="007127D4" w:rsidRDefault="007127D4" w:rsidP="007127D4"/>
    <w:p w:rsidR="007127D4" w:rsidRPr="00873CFD" w:rsidRDefault="007127D4" w:rsidP="007127D4">
      <w:pPr>
        <w:rPr>
          <w:sz w:val="24"/>
        </w:rPr>
      </w:pPr>
      <w:r>
        <w:t>Figure 2.0: Data Model of the Inshore Database, Common Reference Tables.</w:t>
      </w:r>
    </w:p>
    <w:p w:rsidR="00873CFD" w:rsidRDefault="00873CFD">
      <w:pPr>
        <w:rPr>
          <w:noProof/>
          <w:sz w:val="24"/>
          <w:lang w:eastAsia="en-IE"/>
        </w:rPr>
      </w:pPr>
    </w:p>
    <w:p w:rsidR="00873CFD" w:rsidRDefault="00873CFD">
      <w:pPr>
        <w:rPr>
          <w:sz w:val="24"/>
        </w:rPr>
      </w:pPr>
      <w:r w:rsidRPr="00873CFD">
        <w:rPr>
          <w:noProof/>
          <w:sz w:val="24"/>
          <w:lang w:eastAsia="en-IE"/>
        </w:rPr>
        <w:drawing>
          <wp:inline distT="0" distB="0" distL="0" distR="0">
            <wp:extent cx="6381750" cy="443456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3786" cy="4435975"/>
                    </a:xfrm>
                    <a:prstGeom prst="rect">
                      <a:avLst/>
                    </a:prstGeom>
                    <a:noFill/>
                    <a:ln>
                      <a:noFill/>
                    </a:ln>
                  </pic:spPr>
                </pic:pic>
              </a:graphicData>
            </a:graphic>
          </wp:inline>
        </w:drawing>
      </w:r>
    </w:p>
    <w:p w:rsidR="00873CFD" w:rsidRDefault="00873CFD">
      <w:pPr>
        <w:rPr>
          <w:sz w:val="24"/>
        </w:rPr>
      </w:pPr>
    </w:p>
    <w:p w:rsidR="00873CFD" w:rsidRDefault="00873CFD">
      <w:pPr>
        <w:rPr>
          <w:sz w:val="24"/>
        </w:rPr>
      </w:pPr>
    </w:p>
    <w:sectPr w:rsidR="00873CFD" w:rsidSect="001166AE">
      <w:pgSz w:w="11907" w:h="16839" w:code="9"/>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0DAFAE"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er Tully">
    <w15:presenceInfo w15:providerId="AD" w15:userId="S-1-5-21-75260257-1270688730-1705136970-1151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characterSpacingControl w:val="doNotCompress"/>
  <w:compat/>
  <w:rsids>
    <w:rsidRoot w:val="005B784B"/>
    <w:rsid w:val="000E1EF1"/>
    <w:rsid w:val="001166AE"/>
    <w:rsid w:val="00176167"/>
    <w:rsid w:val="001854B8"/>
    <w:rsid w:val="001F3EE9"/>
    <w:rsid w:val="00207C39"/>
    <w:rsid w:val="00225D52"/>
    <w:rsid w:val="00233482"/>
    <w:rsid w:val="003F1283"/>
    <w:rsid w:val="00526E93"/>
    <w:rsid w:val="005852D7"/>
    <w:rsid w:val="00590ACF"/>
    <w:rsid w:val="005B784B"/>
    <w:rsid w:val="005E2E60"/>
    <w:rsid w:val="007127D4"/>
    <w:rsid w:val="007910BD"/>
    <w:rsid w:val="008674A8"/>
    <w:rsid w:val="00873CFD"/>
    <w:rsid w:val="00983602"/>
    <w:rsid w:val="00A444C0"/>
    <w:rsid w:val="00A90309"/>
    <w:rsid w:val="00C31F63"/>
    <w:rsid w:val="00CB49A3"/>
    <w:rsid w:val="00D849B0"/>
    <w:rsid w:val="00DD2CC5"/>
    <w:rsid w:val="00E6464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63"/>
  </w:style>
  <w:style w:type="paragraph" w:styleId="Heading1">
    <w:name w:val="heading 1"/>
    <w:basedOn w:val="Normal"/>
    <w:next w:val="Normal"/>
    <w:link w:val="Heading1Char"/>
    <w:uiPriority w:val="9"/>
    <w:qFormat/>
    <w:rsid w:val="001166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66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CFD"/>
    <w:rPr>
      <w:rFonts w:ascii="Tahoma" w:hAnsi="Tahoma" w:cs="Tahoma"/>
      <w:sz w:val="16"/>
      <w:szCs w:val="16"/>
    </w:rPr>
  </w:style>
  <w:style w:type="character" w:styleId="PlaceholderText">
    <w:name w:val="Placeholder Text"/>
    <w:basedOn w:val="DefaultParagraphFont"/>
    <w:uiPriority w:val="99"/>
    <w:semiHidden/>
    <w:rsid w:val="00CB49A3"/>
    <w:rPr>
      <w:color w:val="808080"/>
    </w:rPr>
  </w:style>
  <w:style w:type="character" w:styleId="CommentReference">
    <w:name w:val="annotation reference"/>
    <w:basedOn w:val="DefaultParagraphFont"/>
    <w:uiPriority w:val="99"/>
    <w:semiHidden/>
    <w:unhideWhenUsed/>
    <w:rsid w:val="001166AE"/>
    <w:rPr>
      <w:sz w:val="16"/>
      <w:szCs w:val="16"/>
    </w:rPr>
  </w:style>
  <w:style w:type="paragraph" w:styleId="CommentText">
    <w:name w:val="annotation text"/>
    <w:basedOn w:val="Normal"/>
    <w:link w:val="CommentTextChar"/>
    <w:uiPriority w:val="99"/>
    <w:semiHidden/>
    <w:unhideWhenUsed/>
    <w:rsid w:val="001166AE"/>
    <w:pPr>
      <w:spacing w:line="240" w:lineRule="auto"/>
    </w:pPr>
    <w:rPr>
      <w:sz w:val="20"/>
      <w:szCs w:val="20"/>
    </w:rPr>
  </w:style>
  <w:style w:type="character" w:customStyle="1" w:styleId="CommentTextChar">
    <w:name w:val="Comment Text Char"/>
    <w:basedOn w:val="DefaultParagraphFont"/>
    <w:link w:val="CommentText"/>
    <w:uiPriority w:val="99"/>
    <w:semiHidden/>
    <w:rsid w:val="001166AE"/>
    <w:rPr>
      <w:sz w:val="20"/>
      <w:szCs w:val="20"/>
    </w:rPr>
  </w:style>
  <w:style w:type="paragraph" w:styleId="CommentSubject">
    <w:name w:val="annotation subject"/>
    <w:basedOn w:val="CommentText"/>
    <w:next w:val="CommentText"/>
    <w:link w:val="CommentSubjectChar"/>
    <w:uiPriority w:val="99"/>
    <w:semiHidden/>
    <w:unhideWhenUsed/>
    <w:rsid w:val="001166AE"/>
    <w:rPr>
      <w:b/>
      <w:bCs/>
    </w:rPr>
  </w:style>
  <w:style w:type="character" w:customStyle="1" w:styleId="CommentSubjectChar">
    <w:name w:val="Comment Subject Char"/>
    <w:basedOn w:val="CommentTextChar"/>
    <w:link w:val="CommentSubject"/>
    <w:uiPriority w:val="99"/>
    <w:semiHidden/>
    <w:rsid w:val="001166AE"/>
    <w:rPr>
      <w:b/>
      <w:bCs/>
      <w:sz w:val="20"/>
      <w:szCs w:val="20"/>
    </w:rPr>
  </w:style>
  <w:style w:type="character" w:customStyle="1" w:styleId="Heading1Char">
    <w:name w:val="Heading 1 Char"/>
    <w:basedOn w:val="DefaultParagraphFont"/>
    <w:link w:val="Heading1"/>
    <w:uiPriority w:val="9"/>
    <w:rsid w:val="001166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66AE"/>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66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CFD"/>
    <w:rPr>
      <w:rFonts w:ascii="Tahoma" w:hAnsi="Tahoma" w:cs="Tahoma"/>
      <w:sz w:val="16"/>
      <w:szCs w:val="16"/>
    </w:rPr>
  </w:style>
  <w:style w:type="character" w:styleId="PlaceholderText">
    <w:name w:val="Placeholder Text"/>
    <w:basedOn w:val="DefaultParagraphFont"/>
    <w:uiPriority w:val="99"/>
    <w:semiHidden/>
    <w:rsid w:val="00CB49A3"/>
    <w:rPr>
      <w:color w:val="808080"/>
    </w:rPr>
  </w:style>
  <w:style w:type="character" w:styleId="CommentReference">
    <w:name w:val="annotation reference"/>
    <w:basedOn w:val="DefaultParagraphFont"/>
    <w:uiPriority w:val="99"/>
    <w:semiHidden/>
    <w:unhideWhenUsed/>
    <w:rsid w:val="001166AE"/>
    <w:rPr>
      <w:sz w:val="16"/>
      <w:szCs w:val="16"/>
    </w:rPr>
  </w:style>
  <w:style w:type="paragraph" w:styleId="CommentText">
    <w:name w:val="annotation text"/>
    <w:basedOn w:val="Normal"/>
    <w:link w:val="CommentTextChar"/>
    <w:uiPriority w:val="99"/>
    <w:semiHidden/>
    <w:unhideWhenUsed/>
    <w:rsid w:val="001166AE"/>
    <w:pPr>
      <w:spacing w:line="240" w:lineRule="auto"/>
    </w:pPr>
    <w:rPr>
      <w:sz w:val="20"/>
      <w:szCs w:val="20"/>
    </w:rPr>
  </w:style>
  <w:style w:type="character" w:customStyle="1" w:styleId="CommentTextChar">
    <w:name w:val="Comment Text Char"/>
    <w:basedOn w:val="DefaultParagraphFont"/>
    <w:link w:val="CommentText"/>
    <w:uiPriority w:val="99"/>
    <w:semiHidden/>
    <w:rsid w:val="001166AE"/>
    <w:rPr>
      <w:sz w:val="20"/>
      <w:szCs w:val="20"/>
    </w:rPr>
  </w:style>
  <w:style w:type="paragraph" w:styleId="CommentSubject">
    <w:name w:val="annotation subject"/>
    <w:basedOn w:val="CommentText"/>
    <w:next w:val="CommentText"/>
    <w:link w:val="CommentSubjectChar"/>
    <w:uiPriority w:val="99"/>
    <w:semiHidden/>
    <w:unhideWhenUsed/>
    <w:rsid w:val="001166AE"/>
    <w:rPr>
      <w:b/>
      <w:bCs/>
    </w:rPr>
  </w:style>
  <w:style w:type="character" w:customStyle="1" w:styleId="CommentSubjectChar">
    <w:name w:val="Comment Subject Char"/>
    <w:basedOn w:val="CommentTextChar"/>
    <w:link w:val="CommentSubject"/>
    <w:uiPriority w:val="99"/>
    <w:semiHidden/>
    <w:rsid w:val="001166AE"/>
    <w:rPr>
      <w:b/>
      <w:bCs/>
      <w:sz w:val="20"/>
      <w:szCs w:val="20"/>
    </w:rPr>
  </w:style>
  <w:style w:type="character" w:customStyle="1" w:styleId="Heading1Char">
    <w:name w:val="Heading 1 Char"/>
    <w:basedOn w:val="DefaultParagraphFont"/>
    <w:link w:val="Heading1"/>
    <w:uiPriority w:val="9"/>
    <w:rsid w:val="001166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66AE"/>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136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DB14F-9475-4381-B932-DFF20474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Macdara O Cuaig</dc:creator>
  <cp:lastModifiedBy>helenmc</cp:lastModifiedBy>
  <cp:revision>2</cp:revision>
  <dcterms:created xsi:type="dcterms:W3CDTF">2017-11-03T14:52:00Z</dcterms:created>
  <dcterms:modified xsi:type="dcterms:W3CDTF">2017-11-03T14:52:00Z</dcterms:modified>
</cp:coreProperties>
</file>