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A1A1A"/>
          <w:sz w:val="36"/>
          <w:szCs w:val="36"/>
        </w:rPr>
        <w:t xml:space="preserve">COMPARATIVE ANALYSIS</w:t>
      </w:r>
    </w:p>
    <w:p>
      <w:pPr>
        <w:spacing w:after="480"/>
        <w:jc w:val="center"/>
      </w:pPr>
      <w:r>
        <w:rPr>
          <w:b/>
          <w:bCs/>
          <w:color w:val="2E5C8A"/>
          <w:sz w:val="26"/>
          <w:szCs w:val="26"/>
        </w:rPr>
        <w:t xml:space="preserve">Question 1: Top CRM Companies - Operational Scale, Costs, Growth &amp; $100M Milestone</w:t>
      </w:r>
    </w:p>
    <w:p>
      <w:pPr>
        <w:pStyle w:val="Heading2"/>
        <w:spacing w:before="360" w:after="240"/>
      </w:pPr>
      <w:r>
        <w:rPr>
          <w:b/>
          <w:bCs/>
          <w:sz w:val="28"/>
          <w:szCs w:val="28"/>
        </w:rPr>
        <w:t xml:space="preserve">Original Question</w:t>
      </w:r>
    </w:p>
    <w:p>
      <w:pPr>
        <w:spacing w:after="120"/>
      </w:pPr>
      <w:r>
        <w:rPr>
          <w:b w:val="false"/>
          <w:bCs w:val="false"/>
          <w:i/>
          <w:iCs/>
          <w:sz w:val="22"/>
          <w:szCs w:val="22"/>
        </w:rPr>
        <w:t xml:space="preserve">Look at the Top CRM companies for Sales. Look at their scope of how many employees does it take to run their operations, engineers etc. cost of doing business, profits, and growth by year, location of operations, and the time it took for them to grow past the 100 million mark.</w:t>
      </w:r>
    </w:p>
    <w:p>
      <w:pPr>
        <w:spacing w:after="240"/>
      </w:pPr>
      <w:r>
        <w:t xml:space="preserve"/>
      </w:r>
    </w:p>
    <w:p>
      <w:pPr>
        <w:pStyle w:val="Heading2"/>
        <w:spacing w:before="360" w:after="240"/>
      </w:pPr>
      <w:r>
        <w:rPr>
          <w:b/>
          <w:bCs/>
          <w:sz w:val="28"/>
          <w:szCs w:val="28"/>
        </w:rPr>
        <w:t xml:space="preserve">1. CONSENSUS MAP (Where All 4 AIs Agreed)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Metric</w:t>
            </w:r>
          </w:p>
        </w:tc>
        <w:tc>
          <w:tcPr>
            <w:tcW w:type="dxa" w:w="5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Consensus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employees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~76,000 (all cite 76,453 specifically)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revenue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~$37.9B (FY2025), ~9% growth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HubSpot employees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~8,200-8,300 (8,246 cited by 3/4)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HubSpot revenue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~$2.6B, ~21% growth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Zoho employees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15,000+ range (some variance 7,900-20,000)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Zoho model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Private, bootstrapped, India-centric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$100M timing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~4-5 years (founded 1999 → $100M by 2003-2005)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HubSpot $100M timing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~8-9 years (founded 2006 → $100M by 2014-2015)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S&amp;M dominance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All agree Sales &amp; Marketing is largest cost category</w:t>
            </w:r>
          </w:p>
        </w:tc>
      </w:tr>
    </w:tbl>
    <w:p>
      <w:pPr>
        <w:spacing w:after="360"/>
      </w:pPr>
      <w:r>
        <w:t xml:space="preserve"/>
      </w:r>
    </w:p>
    <w:p>
      <w:pPr>
        <w:pStyle w:val="Heading2"/>
        <w:spacing w:before="360" w:after="240"/>
      </w:pPr>
      <w:r>
        <w:rPr>
          <w:b/>
          <w:bCs/>
          <w:sz w:val="28"/>
          <w:szCs w:val="28"/>
        </w:rPr>
        <w:t xml:space="preserve">2. KEY DIVERGENCES (Where AIs Disagreed or Varied)</w:t>
      </w:r>
    </w:p>
    <w:p>
      <w:pPr>
        <w:pStyle w:val="Heading3"/>
        <w:spacing w:before="240" w:after="120"/>
      </w:pPr>
      <w:r>
        <w:rPr>
          <w:b/>
          <w:bCs/>
          <w:sz w:val="24"/>
          <w:szCs w:val="24"/>
        </w:rPr>
        <w:t xml:space="preserve">A. Company Selection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393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Companies Analyzed</w:t>
            </w:r>
          </w:p>
        </w:tc>
        <w:tc>
          <w:tcPr>
            <w:tcW w:type="dxa" w:w="393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Notable Inclusions/Exclusions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HubSpot, Freshworks, Zoho</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Included Freshworks (none others did)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HubSpot, Zoho, Microsoft, Pipedrive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Only one to include Pipedrive &amp; Microsoft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HubSpot, Zoho, Microsoft</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Standard set, excluded Freshworks/Pipedrive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HubSpot, Zoho, Pipedrive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Excluded Microsoft, included Pipedrive</w:t>
            </w:r>
          </w:p>
        </w:tc>
      </w:tr>
    </w:tbl>
    <w:p>
      <w:pPr>
        <w:spacing w:after="240" w:before="120"/>
      </w:pPr>
      <w:r>
        <w:rPr>
          <w:b w:val="false"/>
          <w:bCs w:val="false"/>
          <w:i w:val="false"/>
          <w:iCs w:val="false"/>
          <w:sz w:val="22"/>
          <w:szCs w:val="22"/>
        </w:rPr>
        <w:t xml:space="preserve">Gap: No AI analyzed all six major players together. Freshworks only appeared once; Microsoft only in 2/4.</w:t>
      </w:r>
    </w:p>
    <w:p>
      <w:pPr>
        <w:pStyle w:val="Heading3"/>
        <w:spacing w:before="240" w:after="120"/>
      </w:pPr>
      <w:r>
        <w:rPr>
          <w:b/>
          <w:bCs/>
          <w:sz w:val="24"/>
          <w:szCs w:val="24"/>
        </w:rPr>
        <w:t xml:space="preserve">B. Zoho Employee Count - Major Discrepancy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Source</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Employee Count</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Difference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15,000+ (2023)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~15,000 (2023)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Consistent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15,000-20,000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+33% higher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~7,900-10,000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-47% lower</w:t>
            </w:r>
          </w:p>
        </w:tc>
      </w:tr>
    </w:tbl>
    <w:p>
      <w:pPr>
        <w:spacing w:after="240" w:before="120"/>
      </w:pPr>
      <w:r>
        <w:rPr>
          <w:b w:val="false"/>
          <w:bCs w:val="false"/>
          <w:i w:val="false"/>
          <w:iCs w:val="false"/>
          <w:sz w:val="22"/>
          <w:szCs w:val="22"/>
        </w:rPr>
        <w:t xml:space="preserve">Analysis: This is a significant variance. Kimi's lower number may reflect recent restructuring or different counting methodology (excluding contractors?). Qwen's higher range may include all global contractors/partners.</w:t>
      </w:r>
    </w:p>
    <w:p>
      <w:pPr>
        <w:pStyle w:val="Heading3"/>
        <w:spacing w:before="240" w:after="120"/>
      </w:pPr>
      <w:r>
        <w:rPr>
          <w:b/>
          <w:bCs/>
          <w:sz w:val="24"/>
          <w:szCs w:val="24"/>
        </w:rPr>
        <w:t xml:space="preserve">C. Zoho $100M Timeline - Wildly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Source</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Time to $100M</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Implied Year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14 years (founded 1996 → $100M ~2010)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Latest estimate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15-20 years ("slow climb")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Very gradual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10-12 years (founded 1996, growth post-2005)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Earlier than others</w:t>
            </w:r>
          </w:p>
        </w:tc>
      </w:tr>
    </w:tbl>
    <w:p>
      <w:pPr>
        <w:spacing w:after="360" w:before="120"/>
      </w:pPr>
      <w:r>
        <w:rPr>
          <w:b w:val="false"/>
          <w:bCs w:val="false"/>
          <w:i w:val="false"/>
          <w:iCs w:val="false"/>
          <w:sz w:val="22"/>
          <w:szCs w:val="22"/>
        </w:rPr>
        <w:t xml:space="preserve">Analysis: 4-10 year variance due to Zoho's private status. Grok cites GetLatka; others estimate. No definitive public source exists.</w:t>
      </w:r>
    </w:p>
    <w:p>
      <w:r>
        <w:br w:type="page"/>
      </w:r>
    </w:p>
    <w:p>
      <w:pPr>
        <w:pStyle w:val="Heading3"/>
        <w:spacing w:before="0" w:after="120"/>
      </w:pPr>
      <w:r>
        <w:rPr>
          <w:b/>
          <w:bCs/>
          <w:sz w:val="24"/>
          <w:szCs w:val="24"/>
        </w:rPr>
        <w:t xml:space="preserve">D. Freshworks - Only ChatGPT Mentioned</w:t>
      </w:r>
    </w:p>
    <w:p>
      <w:pPr>
        <w:spacing w:after="120"/>
      </w:pPr>
      <w:r>
        <w:rPr>
          <w:b w:val="false"/>
          <w:bCs w:val="false"/>
          <w:i w:val="false"/>
          <w:iCs w:val="false"/>
          <w:sz w:val="22"/>
          <w:szCs w:val="22"/>
        </w:rPr>
        <w:t xml:space="preserve">ChatGPT uniquely included Freshworks with specific data:</w:t>
      </w:r>
    </w:p>
    <w:p>
      <w:pPr>
        <w:spacing w:after="120"/>
      </w:pPr>
      <w:r>
        <w:rPr>
          <w:b w:val="false"/>
          <w:bCs w:val="false"/>
          <w:i w:val="false"/>
          <w:iCs w:val="false"/>
          <w:sz w:val="22"/>
          <w:szCs w:val="22"/>
        </w:rPr>
        <w:t xml:space="preserve">• ~4,500 employees (80% India-based)</w:t>
      </w:r>
    </w:p>
    <w:p>
      <w:pPr>
        <w:spacing w:after="120"/>
      </w:pPr>
      <w:r>
        <w:rPr>
          <w:b w:val="false"/>
          <w:bCs w:val="false"/>
          <w:i w:val="false"/>
          <w:iCs w:val="false"/>
          <w:sz w:val="22"/>
          <w:szCs w:val="22"/>
        </w:rPr>
        <w:t xml:space="preserve">• $838.8M revenue (FY2025)</w:t>
      </w:r>
    </w:p>
    <w:p>
      <w:pPr>
        <w:spacing w:after="120"/>
      </w:pPr>
      <w:r>
        <w:rPr>
          <w:b w:val="false"/>
          <w:bCs w:val="false"/>
          <w:i w:val="false"/>
          <w:iCs w:val="false"/>
          <w:sz w:val="22"/>
          <w:szCs w:val="22"/>
        </w:rPr>
        <w:t xml:space="preserve">• 8 years to $100M (founded 2010 → $100M ARR June 2018)</w:t>
      </w:r>
    </w:p>
    <w:p>
      <w:pPr>
        <w:spacing w:after="120"/>
      </w:pPr>
      <w:r>
        <w:rPr>
          <w:b w:val="false"/>
          <w:bCs w:val="false"/>
          <w:i w:val="false"/>
          <w:iCs w:val="false"/>
          <w:sz w:val="22"/>
          <w:szCs w:val="22"/>
        </w:rPr>
        <w:t xml:space="preserve"/>
      </w:r>
    </w:p>
    <w:p>
      <w:pPr>
        <w:spacing w:after="240"/>
      </w:pPr>
      <w:r>
        <w:rPr>
          <w:b w:val="false"/>
          <w:bCs w:val="false"/>
          <w:i w:val="false"/>
          <w:iCs w:val="false"/>
          <w:sz w:val="22"/>
          <w:szCs w:val="22"/>
        </w:rPr>
        <w:t xml:space="preserve">Gap: Other AIs missed this significant mid-market player ($800M+ revenue, public company).</w:t>
      </w:r>
    </w:p>
    <w:p>
      <w:pPr>
        <w:pStyle w:val="Heading3"/>
        <w:spacing w:before="240" w:after="120"/>
      </w:pPr>
      <w:r>
        <w:rPr>
          <w:b/>
          <w:bCs/>
          <w:sz w:val="24"/>
          <w:szCs w:val="24"/>
        </w:rPr>
        <w:t xml:space="preserve">E. Microsoft Dynamics 365 - Inconsistent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800"/>
        <w:gridCol w:w="469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Treatment</w:t>
            </w:r>
          </w:p>
        </w:tc>
        <w:tc>
          <w:tcPr>
            <w:tcW w:type="dxa" w:w="469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Key Data Point</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Full analysis</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5,000-10,000 employees (division), $7B revenue, 1-2 years to $100M</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Partial analysis</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"Not applicable" for $100M milestone (part of $250B Microsoft)</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Excluded entirely</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Excluded entirely</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w:t>
            </w:r>
          </w:p>
        </w:tc>
      </w:tr>
    </w:tbl>
    <w:p>
      <w:pPr>
        <w:spacing w:after="360" w:before="120"/>
      </w:pPr>
      <w:r>
        <w:rPr>
          <w:b w:val="false"/>
          <w:bCs w:val="false"/>
          <w:i w:val="false"/>
          <w:iCs w:val="false"/>
          <w:sz w:val="22"/>
          <w:szCs w:val="22"/>
        </w:rPr>
        <w:t xml:space="preserve">Analysis: Grok treated Dynamics as standalone; Qwen dismissed standalone metrics. Valid debate: Can a Microsoft division be compared to independent CRM companies?</w:t>
      </w:r>
    </w:p>
    <w:p>
      <w:pPr>
        <w:pStyle w:val="Heading2"/>
        <w:spacing w:before="360" w:after="240"/>
      </w:pPr>
      <w:r>
        <w:rPr>
          <w:b/>
          <w:bCs/>
          <w:sz w:val="28"/>
          <w:szCs w:val="28"/>
        </w:rPr>
        <w:t xml:space="preserve">3. UNIQUE CONTRIBUTIONS (What Each AI Added)</w:t>
      </w:r>
    </w:p>
    <w:p>
      <w:pPr>
        <w:pStyle w:val="Heading3"/>
        <w:spacing w:before="240" w:after="120"/>
      </w:pPr>
      <w:r>
        <w:rPr>
          <w:b/>
          <w:bCs/>
          <w:color w:val="2E5C8A"/>
          <w:sz w:val="24"/>
          <w:szCs w:val="24"/>
        </w:rPr>
        <w:t xml:space="preserve">ChatGPT Unique Value:</w:t>
      </w:r>
    </w:p>
    <w:p>
      <w:pPr>
        <w:spacing w:after="120"/>
      </w:pPr>
      <w:r>
        <w:rPr>
          <w:b w:val="false"/>
          <w:bCs w:val="false"/>
          <w:i w:val="false"/>
          <w:iCs w:val="false"/>
          <w:sz w:val="22"/>
          <w:szCs w:val="22"/>
        </w:rPr>
        <w:t xml:space="preserve">✓ Only AI to include Freshworks ($800M+ revenue player)</w:t>
      </w:r>
    </w:p>
    <w:p>
      <w:pPr>
        <w:spacing w:after="120"/>
      </w:pPr>
      <w:r>
        <w:rPr>
          <w:b w:val="false"/>
          <w:bCs w:val="false"/>
          <w:i w:val="false"/>
          <w:iCs w:val="false"/>
          <w:sz w:val="22"/>
          <w:szCs w:val="22"/>
        </w:rPr>
        <w:t xml:space="preserve">✓ Freshworks India engineering model (80% India-based)</w:t>
      </w:r>
    </w:p>
    <w:p>
      <w:pPr>
        <w:spacing w:after="120"/>
      </w:pPr>
      <w:r>
        <w:rPr>
          <w:b w:val="false"/>
          <w:bCs w:val="false"/>
          <w:i w:val="false"/>
          <w:iCs w:val="false"/>
          <w:sz w:val="22"/>
          <w:szCs w:val="22"/>
        </w:rPr>
        <w:t xml:space="preserve">✓ Profitability trajectory (Freshworks just turned profitable FY2025)</w:t>
      </w:r>
    </w:p>
    <w:p>
      <w:pPr>
        <w:spacing w:after="120"/>
      </w:pPr>
      <w:r>
        <w:rPr>
          <w:b w:val="false"/>
          <w:bCs w:val="false"/>
          <w:i w:val="false"/>
          <w:iCs w:val="false"/>
          <w:sz w:val="22"/>
          <w:szCs w:val="22"/>
        </w:rPr>
        <w:t xml:space="preserve">✓ Zoho $1B milestone (Sept 2023) - others missed this</w:t>
      </w:r>
    </w:p>
    <w:p>
      <w:pPr>
        <w:spacing w:after="240"/>
      </w:pPr>
      <w:r>
        <w:t xml:space="preserve"/>
      </w:r>
    </w:p>
    <w:p>
      <w:pPr>
        <w:pStyle w:val="Heading3"/>
        <w:spacing w:before="240" w:after="120"/>
      </w:pPr>
      <w:r>
        <w:rPr>
          <w:b/>
          <w:bCs/>
          <w:color w:val="2E5C8A"/>
          <w:sz w:val="24"/>
          <w:szCs w:val="24"/>
        </w:rPr>
        <w:t xml:space="preserve">Grok Unique Value:</w:t>
      </w:r>
    </w:p>
    <w:p>
      <w:pPr>
        <w:spacing w:after="120"/>
      </w:pPr>
      <w:r>
        <w:rPr>
          <w:b w:val="false"/>
          <w:bCs w:val="false"/>
          <w:i w:val="false"/>
          <w:iCs w:val="false"/>
          <w:sz w:val="22"/>
          <w:szCs w:val="22"/>
        </w:rPr>
        <w:t xml:space="preserve">✓ Only AI to include Microsoft Dynamics 365 (enterprise player)</w:t>
      </w:r>
    </w:p>
    <w:p>
      <w:pPr>
        <w:spacing w:after="120"/>
      </w:pPr>
      <w:r>
        <w:rPr>
          <w:b w:val="false"/>
          <w:bCs w:val="false"/>
          <w:i w:val="false"/>
          <w:iCs w:val="false"/>
          <w:sz w:val="22"/>
          <w:szCs w:val="22"/>
        </w:rPr>
        <w:t xml:space="preserve">✓ Longitudinal growth tables (2005→2026 revenue progression)</w:t>
      </w:r>
    </w:p>
    <w:p>
      <w:pPr>
        <w:spacing w:after="120"/>
      </w:pPr>
      <w:r>
        <w:rPr>
          <w:b w:val="false"/>
          <w:bCs w:val="false"/>
          <w:i w:val="false"/>
          <w:iCs w:val="false"/>
          <w:sz w:val="22"/>
          <w:szCs w:val="22"/>
        </w:rPr>
        <w:t xml:space="preserve">✓ CAGR calculations (Salesforce 32% since 2005, HubSpot 25%)</w:t>
      </w:r>
    </w:p>
    <w:p>
      <w:pPr>
        <w:spacing w:after="120"/>
      </w:pPr>
      <w:r>
        <w:rPr>
          <w:b w:val="false"/>
          <w:bCs w:val="false"/>
          <w:i w:val="false"/>
          <w:iCs w:val="false"/>
          <w:sz w:val="22"/>
          <w:szCs w:val="22"/>
        </w:rPr>
        <w:t xml:space="preserve">✓ Pipedrive inclusion with growth trajectory (2016: $12M → 2023: $189M)</w:t>
      </w:r>
    </w:p>
    <w:p>
      <w:pPr>
        <w:spacing w:after="120"/>
      </w:pPr>
      <w:r>
        <w:rPr>
          <w:b w:val="false"/>
          <w:bCs w:val="false"/>
          <w:i w:val="false"/>
          <w:iCs w:val="false"/>
          <w:sz w:val="22"/>
          <w:szCs w:val="22"/>
        </w:rPr>
        <w:t xml:space="preserve">✓ Engineering % estimates (Salesforce ~40%, HubSpot 30-40%)</w:t>
      </w:r>
    </w:p>
    <w:p>
      <w:pPr>
        <w:spacing w:after="240"/>
      </w:pPr>
      <w:r>
        <w:t xml:space="preserve"/>
      </w:r>
    </w:p>
    <w:p>
      <w:pPr>
        <w:pStyle w:val="Heading3"/>
        <w:spacing w:before="240" w:after="120"/>
      </w:pPr>
      <w:r>
        <w:rPr>
          <w:b/>
          <w:bCs/>
          <w:color w:val="2E5C8A"/>
          <w:sz w:val="24"/>
          <w:szCs w:val="24"/>
        </w:rPr>
        <w:t xml:space="preserve">Qwen Unique Value:</w:t>
      </w:r>
    </w:p>
    <w:p>
      <w:pPr>
        <w:spacing w:after="120"/>
      </w:pPr>
      <w:r>
        <w:rPr>
          <w:b w:val="false"/>
          <w:bCs w:val="false"/>
          <w:i w:val="false"/>
          <w:iCs w:val="false"/>
          <w:sz w:val="22"/>
          <w:szCs w:val="22"/>
        </w:rPr>
        <w:t xml:space="preserve">✓ Profit per employee metric (Salesforce: $94,463)</w:t>
      </w:r>
    </w:p>
    <w:p>
      <w:pPr>
        <w:spacing w:after="120"/>
      </w:pPr>
      <w:r>
        <w:rPr>
          <w:b w:val="false"/>
          <w:bCs w:val="false"/>
          <w:i w:val="false"/>
          <w:iCs w:val="false"/>
          <w:sz w:val="22"/>
          <w:szCs w:val="22"/>
        </w:rPr>
        <w:t xml:space="preserve">✓ HubSpot operating margin (0.9% - leanest model)</w:t>
      </w:r>
    </w:p>
    <w:p>
      <w:pPr>
        <w:spacing w:after="120"/>
      </w:pPr>
      <w:r>
        <w:rPr>
          <w:b w:val="false"/>
          <w:bCs w:val="false"/>
          <w:i w:val="false"/>
          <w:iCs w:val="false"/>
          <w:sz w:val="22"/>
          <w:szCs w:val="22"/>
        </w:rPr>
        <w:t xml:space="preserve">✓ Zoho employee range (15,000-20,000 - highest estimate)</w:t>
      </w:r>
    </w:p>
    <w:p>
      <w:pPr>
        <w:spacing w:after="120"/>
      </w:pPr>
      <w:r>
        <w:rPr>
          <w:b w:val="false"/>
          <w:bCs w:val="false"/>
          <w:i w:val="false"/>
          <w:iCs w:val="false"/>
          <w:sz w:val="22"/>
          <w:szCs w:val="22"/>
        </w:rPr>
        <w:t xml:space="preserve">✓ Microsoft Dynamics growth rate (23% YoY specific)</w:t>
      </w:r>
    </w:p>
    <w:p>
      <w:pPr>
        <w:spacing w:after="240"/>
      </w:pPr>
      <w:r>
        <w:t xml:space="preserve"/>
      </w:r>
    </w:p>
    <w:p>
      <w:pPr>
        <w:pStyle w:val="Heading3"/>
        <w:spacing w:before="240" w:after="120"/>
      </w:pPr>
      <w:r>
        <w:rPr>
          <w:b/>
          <w:bCs/>
          <w:color w:val="2E5C8A"/>
          <w:sz w:val="24"/>
          <w:szCs w:val="24"/>
        </w:rPr>
        <w:t xml:space="preserve">Kimi Unique Value:</w:t>
      </w:r>
    </w:p>
    <w:p>
      <w:pPr>
        <w:spacing w:after="120"/>
      </w:pPr>
      <w:r>
        <w:rPr>
          <w:b w:val="false"/>
          <w:bCs w:val="false"/>
          <w:i w:val="false"/>
          <w:iCs w:val="false"/>
          <w:sz w:val="22"/>
          <w:szCs w:val="22"/>
        </w:rPr>
        <w:t xml:space="preserve">✓ Most granular department breakdowns (HubSpot: Sales 38%, Eng 26%, Marketing 16%)</w:t>
      </w:r>
    </w:p>
    <w:p>
      <w:pPr>
        <w:spacing w:after="120"/>
      </w:pPr>
      <w:r>
        <w:rPr>
          <w:b w:val="false"/>
          <w:bCs w:val="false"/>
          <w:i w:val="false"/>
          <w:iCs w:val="false"/>
          <w:sz w:val="22"/>
          <w:szCs w:val="22"/>
        </w:rPr>
        <w:t xml:space="preserve">✓ Regional employee distribution (HubSpot: Americas 65%, Europe 28%, APAC 7%)</w:t>
      </w:r>
    </w:p>
    <w:p>
      <w:pPr>
        <w:spacing w:after="120"/>
      </w:pPr>
      <w:r>
        <w:rPr>
          <w:b w:val="false"/>
          <w:bCs w:val="false"/>
          <w:i w:val="false"/>
          <w:iCs w:val="false"/>
          <w:sz w:val="22"/>
          <w:szCs w:val="22"/>
        </w:rPr>
        <w:t xml:space="preserve">✓ Revenue per employee comparisons (Salesforce $495K, HubSpot $345K, Zoho $203K, Pipedrive $178K)</w:t>
      </w:r>
    </w:p>
    <w:p>
      <w:pPr>
        <w:spacing w:after="120"/>
      </w:pPr>
      <w:r>
        <w:rPr>
          <w:b w:val="false"/>
          <w:bCs w:val="false"/>
          <w:i w:val="false"/>
          <w:iCs w:val="false"/>
          <w:sz w:val="22"/>
          <w:szCs w:val="22"/>
        </w:rPr>
        <w:t xml:space="preserve">✓ IPO dates and amounts (Salesforce 2004: $110M, HubSpot 2014: $125M)</w:t>
      </w:r>
    </w:p>
    <w:p>
      <w:pPr>
        <w:spacing w:after="120"/>
      </w:pPr>
      <w:r>
        <w:rPr>
          <w:b w:val="false"/>
          <w:bCs w:val="false"/>
          <w:i w:val="false"/>
          <w:iCs w:val="false"/>
          <w:sz w:val="22"/>
          <w:szCs w:val="22"/>
        </w:rPr>
        <w:t xml:space="preserve">✓ Comparative summary table (side-by-side metrics)</w:t>
      </w:r>
    </w:p>
    <w:p>
      <w:pPr>
        <w:spacing w:after="120"/>
      </w:pPr>
      <w:r>
        <w:rPr>
          <w:b w:val="false"/>
          <w:bCs w:val="false"/>
          <w:i w:val="false"/>
          <w:iCs w:val="false"/>
          <w:sz w:val="22"/>
          <w:szCs w:val="22"/>
        </w:rPr>
        <w:t xml:space="preserve">✓ Location strategy analysis (cost arbitrage models)</w:t>
      </w:r>
    </w:p>
    <w:p>
      <w:pPr>
        <w:spacing w:after="360"/>
      </w:pPr>
      <w:r>
        <w:t xml:space="preserve"/>
      </w:r>
    </w:p>
    <w:p>
      <w:r>
        <w:br w:type="page"/>
      </w:r>
    </w:p>
    <w:p>
      <w:pPr>
        <w:pStyle w:val="Heading2"/>
        <w:spacing w:before="360" w:after="240"/>
      </w:pPr>
      <w:r>
        <w:rPr>
          <w:b/>
          <w:bCs/>
          <w:sz w:val="28"/>
          <w:szCs w:val="28"/>
        </w:rPr>
        <w:t xml:space="preserve">6. STRATEGIC SYNTHESIS (Unified View)</w:t>
      </w:r>
    </w:p>
    <w:p>
      <w:pPr>
        <w:pStyle w:val="Heading3"/>
        <w:spacing w:before="240" w:after="120"/>
      </w:pPr>
      <w:r>
        <w:rPr>
          <w:b/>
          <w:bCs/>
          <w:sz w:val="24"/>
          <w:szCs w:val="24"/>
        </w:rPr>
        <w:t xml:space="preserve">The $100M Milestone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560"/>
        <w:gridCol w:w="4500"/>
      </w:tblGrid>
      <w:t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Speed</w:t>
            </w:r>
          </w:p>
        </w:tc>
        <w:tc>
          <w:tcPr>
            <w:tcW w:type="dxa" w:w="19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Company</w:t>
            </w:r>
          </w:p>
        </w:tc>
        <w:tc>
          <w:tcPr>
            <w:tcW w:type="dxa" w:w="15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Years</w:t>
            </w:r>
          </w:p>
        </w:tc>
        <w:tc>
          <w:tcPr>
            <w:tcW w:type="dxa" w:w="4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Key Factors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Fastest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4-5 years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First-mover advantage, dot-com timing, cloud disruption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HubSpot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8-9 years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Inbound methodology, content marketing efficiency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Freshworks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 years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India-cost arbitrage, competitive market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Slowest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Zoho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10-20 years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Bootstrapped, organic growth, no VC acceleration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Slowest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Pipedrive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11-12 years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Niche focus (sales-only), Estonia origin, limited funding</w:t>
            </w:r>
          </w:p>
        </w:tc>
      </w:tr>
    </w:tbl>
    <w:p>
      <w:pPr>
        <w:spacing w:after="240"/>
      </w:pPr>
      <w:r>
        <w:t xml:space="preserve"/>
      </w:r>
    </w:p>
    <w:p>
      <w:pPr>
        <w:pStyle w:val="Heading3"/>
        <w:spacing w:before="240" w:after="120"/>
      </w:pPr>
      <w:r>
        <w:rPr>
          <w:b/>
          <w:bCs/>
          <w:sz w:val="24"/>
          <w:szCs w:val="24"/>
        </w:rPr>
        <w:t xml:space="preserve">Operational Efficiency Hierarchy (Revenue/Employee):</w:t>
      </w:r>
    </w:p>
    <w:p>
      <w:pPr>
        <w:spacing w:after="120"/>
      </w:pPr>
      <w:r>
        <w:rPr>
          <w:b w:val="false"/>
          <w:bCs w:val="false"/>
          <w:i w:val="false"/>
          <w:iCs w:val="false"/>
          <w:sz w:val="22"/>
          <w:szCs w:val="22"/>
        </w:rPr>
        <w:t xml:space="preserve">Salesforce: $495,660 (mature, automated)</w:t>
      </w:r>
    </w:p>
    <w:p>
      <w:pPr>
        <w:spacing w:after="120"/>
      </w:pPr>
      <w:r>
        <w:rPr>
          <w:b w:val="false"/>
          <w:bCs w:val="false"/>
          <w:i w:val="false"/>
          <w:iCs w:val="false"/>
          <w:sz w:val="22"/>
          <w:szCs w:val="22"/>
        </w:rPr>
        <w:t xml:space="preserve">HubSpot: $345,368 (growth mode, improving)</w:t>
      </w:r>
    </w:p>
    <w:p>
      <w:pPr>
        <w:spacing w:after="120"/>
      </w:pPr>
      <w:r>
        <w:rPr>
          <w:b w:val="false"/>
          <w:bCs w:val="false"/>
          <w:i w:val="false"/>
          <w:iCs w:val="false"/>
          <w:sz w:val="22"/>
          <w:szCs w:val="22"/>
        </w:rPr>
        <w:t xml:space="preserve">Zoho: ~$203,000 (cost arbitrage, high headcount)</w:t>
      </w:r>
    </w:p>
    <w:p>
      <w:pPr>
        <w:spacing w:after="120"/>
      </w:pPr>
      <w:r>
        <w:rPr>
          <w:b w:val="false"/>
          <w:bCs w:val="false"/>
          <w:i w:val="false"/>
          <w:iCs w:val="false"/>
          <w:sz w:val="22"/>
          <w:szCs w:val="22"/>
        </w:rPr>
        <w:t xml:space="preserve">Pipedrive: ~$178,000 (specialized, smaller scale)</w:t>
      </w:r>
    </w:p>
    <w:p>
      <w:pPr>
        <w:spacing w:after="240"/>
      </w:pPr>
      <w:r>
        <w:t xml:space="preserve"/>
      </w:r>
    </w:p>
    <w:p>
      <w:pPr>
        <w:pStyle w:val="Heading3"/>
        <w:spacing w:before="240" w:after="120"/>
      </w:pPr>
      <w:r>
        <w:rPr>
          <w:b/>
          <w:bCs/>
          <w:sz w:val="24"/>
          <w:szCs w:val="24"/>
        </w:rPr>
        <w:t xml:space="preserve">Cost Structure Patterns:</w:t>
      </w:r>
    </w:p>
    <w:p>
      <w:pPr>
        <w:spacing w:after="120"/>
      </w:pPr>
      <w:r>
        <w:rPr>
          <w:b w:val="false"/>
          <w:bCs w:val="false"/>
          <w:i w:val="false"/>
          <w:iCs w:val="false"/>
          <w:sz w:val="22"/>
          <w:szCs w:val="22"/>
        </w:rPr>
        <w:t xml:space="preserve">S&amp;M Dominance: 35-53% of revenue (customer acquisition is THE cost)</w:t>
      </w:r>
    </w:p>
    <w:p>
      <w:pPr>
        <w:spacing w:after="120"/>
      </w:pPr>
      <w:r>
        <w:rPr>
          <w:b w:val="false"/>
          <w:bCs w:val="false"/>
          <w:i w:val="false"/>
          <w:iCs w:val="false"/>
          <w:sz w:val="22"/>
          <w:szCs w:val="22"/>
        </w:rPr>
        <w:t xml:space="preserve">R&amp;D Investment: 14-34% of revenue (AI/platform race)</w:t>
      </w:r>
    </w:p>
    <w:p>
      <w:pPr>
        <w:spacing w:after="120"/>
      </w:pPr>
      <w:r>
        <w:rPr>
          <w:b w:val="false"/>
          <w:bCs w:val="false"/>
          <w:i w:val="false"/>
          <w:iCs w:val="false"/>
          <w:sz w:val="22"/>
          <w:szCs w:val="22"/>
        </w:rPr>
        <w:t xml:space="preserve">Profitability Timeline: 15-20 years to mature margins (Salesforce 16.4%, Zoho high, HubSpot just turning)</w:t>
      </w:r>
    </w:p>
    <w:p>
      <w:pPr>
        <w:spacing w:after="240"/>
      </w:pPr>
      <w:r>
        <w:t xml:space="preserve"/>
      </w:r>
    </w:p>
    <w:p>
      <w:pPr>
        <w:pStyle w:val="Heading3"/>
        <w:spacing w:before="240" w:after="120"/>
      </w:pPr>
      <w:r>
        <w:rPr>
          <w:b/>
          <w:bCs/>
          <w:sz w:val="24"/>
          <w:szCs w:val="24"/>
        </w:rPr>
        <w:t xml:space="preserve">Location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Model</w:t>
            </w:r>
          </w:p>
        </w:tc>
        <w:tc>
          <w:tcPr>
            <w:tcW w:type="dxa" w:w="32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Companies</w:t>
            </w:r>
          </w:p>
        </w:tc>
        <w:tc>
          <w:tcPr>
            <w:tcW w:type="dxa" w:w="32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Cost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Premium Global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 opex, premium pricing power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Hybrid US-International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HubSpot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Balanced cost and market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India-Centric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Zoho, Freshworks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60-80% lower engineering costs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Estonia→NYC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Pipedrive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Talent arbitrage, US market access</w:t>
            </w:r>
          </w:p>
        </w:tc>
      </w:tr>
    </w:tbl>
    <w:p>
      <w:pPr>
        <w:spacing w:after="360"/>
      </w:pPr>
      <w:r>
        <w:t xml:space="preserve"/>
      </w:r>
    </w:p>
    <w:p>
      <w:r>
        <w:br w:type="page"/>
      </w:r>
    </w:p>
    <w:p>
      <w:pPr>
        <w:pStyle w:val="Heading2"/>
        <w:spacing w:before="360" w:after="240"/>
      </w:pPr>
      <w:r>
        <w:rPr>
          <w:b/>
          <w:bCs/>
          <w:sz w:val="28"/>
          <w:szCs w:val="28"/>
        </w:rPr>
        <w:t xml:space="preserve">7. RECOMMENDATION FOR YOUR CRM STRATEGY</w:t>
      </w:r>
    </w:p>
    <w:p>
      <w:pPr>
        <w:pStyle w:val="Heading3"/>
        <w:spacing w:before="240" w:after="120"/>
      </w:pPr>
      <w:r>
        <w:rPr>
          <w:b/>
          <w:bCs/>
          <w:sz w:val="24"/>
          <w:szCs w:val="24"/>
        </w:rPr>
        <w:t xml:space="preserve">If targeting $100M ARR: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Your Situation</w:t>
            </w:r>
          </w:p>
        </w:tc>
        <w:tc>
          <w:tcPr>
            <w:tcW w:type="dxa" w:w="32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Model to Emulate</w:t>
            </w:r>
          </w:p>
        </w:tc>
        <w:tc>
          <w:tcPr>
            <w:tcW w:type="dxa" w:w="32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Timeline Expectation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VC-funded, category creation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4-6 years (if disruptive)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Inbound/PLG, mid-market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HubSpot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8-9 years (sustainable)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Bootstrapped, profitability-first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Zoho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10-15 years (but profitable throughout)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Niche vertical, sales-focused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Pipedrive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10-12 years (capital efficient)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Enterprise, existing platform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Microsoft Dynamics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 (requires Microsoft-scale backing)</w:t>
            </w:r>
          </w:p>
        </w:tc>
      </w:tr>
    </w:tbl>
    <w:p>
      <w:pPr>
        <w:spacing w:after="240"/>
      </w:pPr>
      <w:r>
        <w:t xml:space="preserve"/>
      </w:r>
    </w:p>
    <w:p>
      <w:pPr>
        <w:pStyle w:val="Heading3"/>
        <w:spacing w:before="240" w:after="120"/>
      </w:pPr>
      <w:r>
        <w:rPr>
          <w:b/>
          <w:bCs/>
          <w:sz w:val="24"/>
          <w:szCs w:val="24"/>
        </w:rPr>
        <w:t xml:space="preserve">Key Success Factors (All AIs Agreed):</w:t>
      </w:r>
    </w:p>
    <w:p>
      <w:pPr>
        <w:spacing w:after="120"/>
      </w:pPr>
      <w:r>
        <w:rPr>
          <w:b w:val="false"/>
          <w:bCs w:val="false"/>
          <w:i w:val="false"/>
          <w:iCs w:val="false"/>
          <w:sz w:val="22"/>
          <w:szCs w:val="22"/>
        </w:rPr>
        <w:t xml:space="preserve">• S&amp;M will be your largest cost (35-50% of revenue) - plan for it</w:t>
      </w:r>
    </w:p>
    <w:p>
      <w:pPr>
        <w:spacing w:after="120"/>
      </w:pPr>
      <w:r>
        <w:rPr>
          <w:b w:val="false"/>
          <w:bCs w:val="false"/>
          <w:i w:val="false"/>
          <w:iCs w:val="false"/>
          <w:sz w:val="22"/>
          <w:szCs w:val="22"/>
        </w:rPr>
        <w:t xml:space="preserve">• Engineering % matters less than efficiency - location arbitrage works (India model)</w:t>
      </w:r>
    </w:p>
    <w:p>
      <w:pPr>
        <w:spacing w:after="120"/>
      </w:pPr>
      <w:r>
        <w:rPr>
          <w:b w:val="false"/>
          <w:bCs w:val="false"/>
          <w:i w:val="false"/>
          <w:iCs w:val="false"/>
          <w:sz w:val="22"/>
          <w:szCs w:val="22"/>
        </w:rPr>
        <w:t xml:space="preserve">• Time to $100M correlates with funding strategy - bootstrapped = slower but more control</w:t>
      </w:r>
    </w:p>
    <w:p>
      <w:pPr>
        <w:spacing w:after="120"/>
      </w:pPr>
      <w:r>
        <w:rPr>
          <w:b w:val="false"/>
          <w:bCs w:val="false"/>
          <w:i w:val="false"/>
          <w:iCs w:val="false"/>
          <w:sz w:val="22"/>
          <w:szCs w:val="22"/>
        </w:rPr>
        <w:t xml:space="preserve">• Revenue/employee improves with scale - expect $200K early, $400K+ at maturity</w:t>
      </w:r>
    </w:p>
    <w:p>
      <w:pPr>
        <w:spacing w:after="480"/>
      </w:pPr>
      <w:r>
        <w:t xml:space="preserve"/>
      </w:r>
    </w:p>
    <w:p>
      <w:pPr>
        <w:pBdr>
          <w:top w:val="single" w:color="CCCCCC" w:sz="6" w:space="1"/>
        </w:pBdr>
        <w:spacing w:before="360"/>
        <w:jc w:val="center"/>
      </w:pPr>
      <w:r>
        <w:rPr>
          <w:i/>
          <w:iCs/>
          <w:color w:val="666666"/>
          <w:sz w:val="20"/>
          <w:szCs w:val="20"/>
        </w:rPr>
        <w:t xml:space="preserve">Analysis comparing responses from ChatGPT, Grok, Qwen, and Kimi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2026-02-11T03:58:29.790Z</dcterms:created>
  <dcterms:modified xsi:type="dcterms:W3CDTF">2026-02-11T03:58:29.791Z</dcterms:modified>
</cp:coreProperties>
</file>

<file path=docProps/custom.xml><?xml version="1.0" encoding="utf-8"?>
<Properties xmlns="http://schemas.openxmlformats.org/officeDocument/2006/custom-properties" xmlns:vt="http://schemas.openxmlformats.org/officeDocument/2006/docPropsVTypes"/>
</file>