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HU.011 – MANTER CNAES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HU-011. Manter a tabela de subclasses CNAE e, na mesma ficha, o grau de risco municipal vigente daquela subclasse Regras evidenciadas no código: (1) O código aceito é a subclasse de 7 dígitos. A máscara DDDD-D/SS é normalizada para dígitos antes da validação. A exibição usa o código formatado. (2) Sem versão vigente de risco municipal, criar ou editar é recusado com a mensagem de que não há versão vigente para registrar a classificação. (3) A gravação na ficha faz updateOrCreate na linha vigente. A publicação em lote com quatro olhos permanece no import oficial da planilha (RiscoMunicipalImportService), fora desta tela. (4) CNAE novo nasce ativo: a coluna active tem padrão verdadeiro no banco e o cadastro não envia situação. (5) CNAE vinculado a empresa não é excluído. A desativação lógica continua disponível. (6) A hierarquia IBGE da ficha é seção, divisão, grupo e classe, cada uma com código e descrição. (7) Flags da ficha: exige responsável técnico, exige RT apenas se alto risco, possui fator multiplicador e exige detalhamento do multiplicador. (8) A alteração do model é auditada pelo HasAuditoria do Cnae. Fluxo evidenciado: 1. A listagem busca por prefixo de código (somente dígitos) ou por denominação, filtra situação (active 0 ou 1), ordena por código ou denominação e pagina em 10, 15, 25 ou 50 itens. O padrão de página vem do parâmetro ui.cnaes.per_page (15 se ausente) 2. Com formato igual a csv, xlsx ou pdf, a mesma listagem exporta o conjunto filtrado 3. O cadastro grava a subclasse e, na mesma transação, cria ou atualiza a classificação de risco municipal na versão vigente do domínio risco_municipal 4. A edição altera os dados da subclasse e a classificação vigente. Se o código de 7 dígitos mudar, as linhas que apontam para o código antigo (classificação municipal, classificação sanitária, condicionante de risco e CNAE de escritório virtual) passam a apontar para o código novo 5. A listagem altera só a situação (active), sem reenviar o restante da ficha 6. A exclusão física é recusada quando o CNAE está vinculado a empresas. A restrição também existe no banco (company_cnae.cnae_id) Não evidenciado no código: Importação da planilha IBGE por esta tela. O cadastro é manual, registro a registro Quatro olhos na gravação da ficha Perguntas de condicionante sanitária na ficha do CNAE Modo somente leitura da ficha para quem só tem consultar-cnaes. Divergência em relação à redação anterior: A redação anterior era um texto genérico de administração, com fluxos de GIS, REDESIM e decisão automática que esta tela não executa. A observação sobre a planilha CNAE 2.3 do IBGE e o modelo do SIGVISA (perguntas condicionantes com reclassificação sanitária e vínculo N:N com requisito) descrevia uma ficha que o código não entrega aqui. O CnaeController registra que o e-mail da SEDUR de 21/09/2026 retirou a validação de condicionantes da VISA desta ficha. O vínculo de requisito documental é a HU-155. O grau de risco na ficha é a HU-020; os gatilhos semi-expresso são a HU-164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CNAEs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Manter CNAEs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cnaes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Manter a tabela de subclasses CNAE e, na mesma ficha, o grau de risco municipal vigente daquela subclasse.</w:t>
      </w:r>
    </w:p>
    <w:p>
      <w:pPr>
        <w:pStyle w:val="Heading1"/>
      </w:pPr>
      <w:r>
        <w:t>HISTÓRIA DE USUÁRIO: Manter CNAEs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com a permissão `manter-cnaes`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consultar, cadastrar, alterar, ativar ou desativar e excluir subclasses CNAE, com o grau de risco municipal na ficha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motor usar uma base de atividades atualizada.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 e exportação da listagem: permissão consultar-cnaes. Menu Regras, item CNAEs (/gestao/cnaes)</w:t>
      </w:r>
    </w:p>
    <w:p>
      <w:pPr>
        <w:jc w:val="both"/>
      </w:pPr>
      <w:r>
        <w:rPr>
          <w:rFonts w:ascii="Arial" w:hAnsi="Arial"/>
          <w:sz w:val="24"/>
        </w:rPr>
        <w:t>• Criar, editar, alterar situação e excluir: permissão manter-cnaes. A rota de edição não tem modo somente leitura</w:t>
      </w:r>
    </w:p>
    <w:p>
      <w:pPr>
        <w:jc w:val="both"/>
      </w:pPr>
      <w:r>
        <w:rPr>
          <w:rFonts w:ascii="Arial" w:hAnsi="Arial"/>
          <w:sz w:val="24"/>
        </w:rPr>
        <w:t>• Quem não tem a permissão da rota é recusado pelo middleware permission</w:t>
      </w:r>
    </w:p>
    <w:p>
      <w:pPr>
        <w:jc w:val="both"/>
      </w:pPr>
      <w:r>
        <w:rPr>
          <w:rFonts w:ascii="Arial" w:hAnsi="Arial"/>
          <w:sz w:val="24"/>
        </w:rPr>
        <w:t>• Código obrigatório, exatamente 7 dígitos, único em cnaes.code (na edição, ignora o próprio registro)</w:t>
      </w:r>
    </w:p>
    <w:p>
      <w:pPr>
        <w:jc w:val="both"/>
      </w:pPr>
      <w:r>
        <w:rPr>
          <w:rFonts w:ascii="Arial" w:hAnsi="Arial"/>
          <w:sz w:val="24"/>
        </w:rPr>
        <w:t>• Denominação obrigatória, até 255 caracteres</w:t>
      </w:r>
    </w:p>
    <w:p>
      <w:pPr>
        <w:jc w:val="both"/>
      </w:pPr>
      <w:r>
        <w:rPr>
          <w:rFonts w:ascii="Arial" w:hAnsi="Arial"/>
          <w:sz w:val="24"/>
        </w:rPr>
        <w:t>• Códigos e descrições de seção (1), divisão (2), grupo (5) e classe (7), todos obrigatórios, descrições até 255</w:t>
      </w:r>
    </w:p>
    <w:p>
      <w:pPr>
        <w:jc w:val="both"/>
      </w:pPr>
      <w:r>
        <w:rPr>
          <w:rFonts w:ascii="Arial" w:hAnsi="Arial"/>
          <w:sz w:val="24"/>
        </w:rPr>
        <w:t>• risco_municipal obrigatório e restrito ao enum RiscoMunicipal (baixo_a, baixo_b, alto)</w:t>
      </w:r>
    </w:p>
    <w:p>
      <w:pPr>
        <w:jc w:val="both"/>
      </w:pPr>
      <w:r>
        <w:rPr>
          <w:rFonts w:ascii="Arial" w:hAnsi="Arial"/>
          <w:sz w:val="24"/>
        </w:rPr>
        <w:t>• As quatro flags de RT e fator multiplicador são booleanos obrigatórios</w:t>
      </w:r>
    </w:p>
    <w:p>
      <w:pPr>
        <w:jc w:val="both"/>
      </w:pPr>
      <w:r>
        <w:rPr>
          <w:rFonts w:ascii="Arial" w:hAnsi="Arial"/>
          <w:sz w:val="24"/>
        </w:rPr>
        <w:t>• Na edição e na troca de situação, active é booleano obrigatório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Manter CNAEs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Manter CNAEs]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Listar e exportar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usuário com consultar-cnaes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abre /gestao/cnaes e informa busca, situação, ordenação ou formato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lista respeita o filtro e, com formato csv, xlsx ou pdf, exporta esse conjunto</w:t>
      </w:r>
    </w:p>
    <w:p/>
    <w:p>
      <w:r>
        <w:rPr>
          <w:rFonts w:ascii="Arial" w:hAnsi="Arial"/>
          <w:b/>
          <w:sz w:val="22"/>
        </w:rPr>
        <w:t>Cenário 2: CA-02 — Cadastrar com risco vigente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existe versão vigente de risco municipal e o usuário tem manter-cnaes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grava uma subclasse de 7 dígitos ainda não cadastrada, com hierarquia, flags e grau de risco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CNAE é criado e a classificação fica na versão vigente</w:t>
      </w:r>
    </w:p>
    <w:p/>
    <w:p>
      <w:r>
        <w:rPr>
          <w:rFonts w:ascii="Arial" w:hAnsi="Arial"/>
          <w:b/>
          <w:sz w:val="22"/>
        </w:rPr>
        <w:t>Cenário 3: CA-03 — Recusa sem versão de risco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não há versão vigente de risco municipal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usuário tenta cadastrar ou atualizar um CNAE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gravação não ocorre e a tela informa que não há versão vigente para registrar a classificação</w:t>
      </w:r>
    </w:p>
    <w:p/>
    <w:p>
      <w:r>
        <w:rPr>
          <w:rFonts w:ascii="Arial" w:hAnsi="Arial"/>
          <w:b/>
          <w:sz w:val="22"/>
        </w:rPr>
        <w:t>Cenário 4: CA-04 — Exclusão com vínculo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CNAE vinculado a empresa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usuário com manter-cnaes tenta excluí-lo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registro permanece e a mensagem informa que CNAE vinculado a empresas não pode ser excluído</w:t>
      </w:r>
    </w:p>
    <w:p/>
    <w:p>
      <w:r>
        <w:rPr>
          <w:rFonts w:ascii="Arial" w:hAnsi="Arial"/>
          <w:b/>
          <w:sz w:val="22"/>
        </w:rPr>
        <w:t>Cenário 5: CA-05 — Troca de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CNAE cuja classificação ou vínculo de escritório virtual aponta para o código atual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edição grava outro código de 7 dígitos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essas linhas passam a referenciar o código novo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HU.011 - MANTER CNAES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