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HU.012 – MANTER USUÁRIOS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HU-012. Administrar contas já existentes: papel, situação, mecanismo de autenticação e pedidos de primeiro acesso Regras evidenciadas no código: (1) Uma conta tem um papel por vez (syncRoles com um único nome). (2) O administrador não inativa a si mesmo. A mensagem é «Você não pode inativar a própria conta.». (3) CPF não é exibido em claro nesta tela. (4) Não existe, neste controller, cadastro de nome, e-mail, CPF ou senha inicial. (5) Conta convertida para local recebe a nova senha pelo fluxo de recuperação do console, não por senha digitada nesta tela. (6) Se o tipo e a conta AD enviados já são os atuais, nada é regravado. Fluxo evidenciado: 1. A lista tem duas abas. gestao (padrão) mostra a equipe SEDUR: contas AD e papéis com acessar-gestao. portal mostra usuários externos, nunca contas AD. A busca é por nome ou e-mail. A paginação usa o parâmetro ui.users.per_page (15 se ausente) 2. Cada linha expõe nome, e-mail, papéis, data de inativação, CPF mascarado (*.*.*- e os dois últimos dígitos), tipo de autenticação e conta AD. O CPF completo não sai na lista nem na exportação 3. Com formato csv, xlsx ou pdf, exporta o conjunto da aba e da busca 4. A troca de papel sincroniza um único papel do guard web e registra papel anterior e novo 5. A inativação grava inactivated_at; a reativação limpa o campo. O atributo fica fora do fillable e só é gravado por forceFill 6. A troca de autenticação aceita ad ou local. Em AD, a conta (ad_username) é obrigatória, única e normalizada para minúsculas. Em local, a conta AD é proibida. Se o mecanismo muda, a senha anterior é substituída por um valor aleatório. Na conversão de AD para local, o sistema envia o link de redefinição de senha do console 7. A mesma tela lista solicitações de acesso pendentes (nome, e-mail, conta AD, perfil pedido, justificativa e data). Aprovar vincula o papel informado e marca a solicitação como aprovada. Recusar exige motivo de até 300 caracteres. Solicitação já decidida não é decidida de novo Não evidenciado no código: Formulário de criação de conta, edição de identidade ou definição de senha nesta tela Exclusão física de usuário Mais de um papel simultâneo na mesma conta. Divergência em relação à redação anterior: A redação anterior tratava «manter usuários» como cadastro genérico, com fluxos de processo, GIS e motor. O código não cria usuário nesta tela e não edita nome, e-mail ou CPF. O que existe é gestão de papel, situação, autenticação e fila de primeiro acesso AD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usuários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usuários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usuários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Administrar contas já existentes: papel, situação, mecanismo de autenticação e pedidos de primeiro acesso.</w:t>
      </w:r>
    </w:p>
    <w:p>
      <w:pPr>
        <w:pStyle w:val="Heading1"/>
      </w:pPr>
      <w:r>
        <w:t>HISTÓRIA DE USUÁRIO: Manter usuários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a permissão `manter-usuarios`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localizar contas, trocar o papel, inativar ou reativar, definir se a autenticação é AD ou local e decidir solicitações de acesso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controlar quem entra no console e no portal.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Toda a tela exige manter-usuarios. Menu Administração, item Usuários (/gestao/usuarios)</w:t>
      </w:r>
    </w:p>
    <w:p>
      <w:pPr>
        <w:jc w:val="both"/>
      </w:pPr>
      <w:r>
        <w:rPr>
          <w:rFonts w:ascii="Arial" w:hAnsi="Arial"/>
          <w:sz w:val="24"/>
        </w:rPr>
        <w:t>• O próprio administrador não inativa a própria conta</w:t>
      </w:r>
    </w:p>
    <w:p>
      <w:pPr>
        <w:jc w:val="both"/>
      </w:pPr>
      <w:r>
        <w:rPr>
          <w:rFonts w:ascii="Arial" w:hAnsi="Arial"/>
          <w:sz w:val="24"/>
        </w:rPr>
        <w:t>• A auditoria dessas ações marca dado pessoal (personalData: true)</w:t>
      </w:r>
    </w:p>
    <w:p>
      <w:pPr>
        <w:jc w:val="both"/>
      </w:pPr>
      <w:r>
        <w:rPr>
          <w:rFonts w:ascii="Arial" w:hAnsi="Arial"/>
          <w:sz w:val="24"/>
        </w:rPr>
        <w:t>• Papel: obrigatório e existente em roles.name com guard_name web</w:t>
      </w:r>
    </w:p>
    <w:p>
      <w:pPr>
        <w:jc w:val="both"/>
      </w:pPr>
      <w:r>
        <w:rPr>
          <w:rFonts w:ascii="Arial" w:hAnsi="Arial"/>
          <w:sz w:val="24"/>
        </w:rPr>
        <w:t>• Inativação: bloqueada quando o alvo é o usuário autenticado</w:t>
      </w:r>
    </w:p>
    <w:p>
      <w:pPr>
        <w:jc w:val="both"/>
      </w:pPr>
      <w:r>
        <w:rPr>
          <w:rFonts w:ascii="Arial" w:hAnsi="Arial"/>
          <w:sz w:val="24"/>
        </w:rPr>
        <w:t>• auth_type: enum AuthType (ad, local)</w:t>
      </w:r>
    </w:p>
    <w:p>
      <w:pPr>
        <w:jc w:val="both"/>
      </w:pPr>
      <w:r>
        <w:rPr>
          <w:rFonts w:ascii="Arial" w:hAnsi="Arial"/>
          <w:sz w:val="24"/>
        </w:rPr>
        <w:t>• ad_username: obrigatório se auth_type é ad; proibido se é local; até 100 caracteres; padrão ^[a-zA-Z0-9._-]+$; único em users.ad_username, ignorando a própria conta</w:t>
      </w:r>
    </w:p>
    <w:p>
      <w:pPr>
        <w:jc w:val="both"/>
      </w:pPr>
      <w:r>
        <w:rPr>
          <w:rFonts w:ascii="Arial" w:hAnsi="Arial"/>
          <w:sz w:val="24"/>
        </w:rPr>
        <w:t>• Recusa de solicitação: motivo obrigatório, até 300 caracteres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usuários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usuários]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Abas e CPF mascarado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manter-usuarios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lista na aba gestao ou portal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só o conjunto da aba e o CPF apenas com os dois últimos dígitos</w:t>
      </w:r>
    </w:p>
    <w:p/>
    <w:p>
      <w:r>
        <w:rPr>
          <w:rFonts w:ascii="Arial" w:hAnsi="Arial"/>
          <w:b/>
          <w:sz w:val="22"/>
        </w:rPr>
        <w:t>Cenário 2: CA-02 — Um papel e trilha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conta com papel atual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grava outro papel existente no guard web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conta fica com esse único papel e a auditoria registra papel anterior e novo</w:t>
      </w:r>
    </w:p>
    <w:p/>
    <w:p>
      <w:r>
        <w:rPr>
          <w:rFonts w:ascii="Arial" w:hAnsi="Arial"/>
          <w:b/>
          <w:sz w:val="22"/>
        </w:rPr>
        <w:t>Cenário 3: CA-03 — Anti-lockout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autenticado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inativar a própria conta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inativação é recusada</w:t>
      </w:r>
    </w:p>
    <w:p/>
    <w:p>
      <w:r>
        <w:rPr>
          <w:rFonts w:ascii="Arial" w:hAnsi="Arial"/>
          <w:b/>
          <w:sz w:val="22"/>
        </w:rPr>
        <w:t>Cenário 4: CA-04 — AD para local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conta autenticada por AD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muda o tipo para local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conta AD é removida, a senha anterior deixa de valer e o fluxo de redefinição do console é disparado para o e-mail da conta</w:t>
      </w:r>
    </w:p>
    <w:p/>
    <w:p>
      <w:r>
        <w:rPr>
          <w:rFonts w:ascii="Arial" w:hAnsi="Arial"/>
          <w:b/>
          <w:sz w:val="22"/>
        </w:rPr>
        <w:t>Cenário 5: CA-05 — Solicitação já decidida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solicitação que não está pendente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aprovar ou recusar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decisão não é reaplicada e a mensagem informa que a solicitação já foi decidida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HU.012 - MANTER USUÁRIOS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