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HU.017 – MANTER QUADRO 11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HU-017. A redação anterior pedia a manutenção do Quadro 11 da LOUOS. O código atual não oferece esse quadro Regras evidenciadas no código: (1) Não há tabela, seeder vigente nem CRUD nomeados como Quadro 11 no domínio de regras atual. (2) O comentário de LouosQuadro11ImportService, ainda usado pelo Quadro 11A, registra que a publicação oficial tratada pelo import é o 11A. Fluxo evidenciado: 1. O mapa QUADRO_DOMAINS de LouosController, LouosDraftService, LouosSandboxController e PublishLouosVersionRequest aceita apenas quadro10 e quadro11a 2. Um parâmetro quadro fora desse mapa cai no Quadro 10 na consulta, ou é recusado com «Quadro inválido ou ausente» nas operações de rascunho 3. A validação de linha e de publicação usa in:quadro10,quadro11a Não evidenciado no código: CRUD, importação, rascunho, publicação ou simulação do Quadro 11 Cadastro do Quadro 11B. Divergência em relação à redação anterior: A redação anterior tratava o Quadro 11 como cadastro administrável, com as mesmas regras genéricas de zona, via e resultado proibitivo ou condicionado. Esse cadastro não está no código. O quadro de condições por classe de via que a tela mantém é o 11A (HU-018)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11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Quadro 11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quadro 11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redação anterior pedia a manutenção do Quadro 11 da LOUOS. O código atual não oferece esse quadro.</w:t>
      </w:r>
    </w:p>
    <w:p>
      <w:pPr>
        <w:pStyle w:val="Heading1"/>
      </w:pPr>
      <w:r>
        <w:t>HISTÓRIA DE USUÁRIO: Manter Quadro 11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do motor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o Quadro 11 no hub de regras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versionar suas condições. Não há ator com essa capacidade: o quadro não está no catálogo de domínios nem na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hub Motor de regras (/gestao/louos) lista e edita quadro10 e quadro11a</w:t>
      </w:r>
    </w:p>
    <w:p>
      <w:pPr>
        <w:jc w:val="both"/>
      </w:pPr>
      <w:r>
        <w:rPr>
          <w:rFonts w:ascii="Arial" w:hAnsi="Arial"/>
          <w:sz w:val="24"/>
        </w:rPr>
        <w:t>• RuleDomain não tem caso de Quadro 11. O Quadro 11A está na HU-018. O Quadro 11B não aparece como domínio nem como rota</w:t>
      </w:r>
    </w:p>
    <w:p>
      <w:pPr>
        <w:jc w:val="both"/>
      </w:pPr>
      <w:r>
        <w:rPr>
          <w:rFonts w:ascii="Arial" w:hAnsi="Arial"/>
          <w:sz w:val="24"/>
        </w:rPr>
        <w:t>• Enviar quadro=quadro11 não passa em in:quadro10,quadro11a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Quadro 11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Quadro 11]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Quadro ausente do catálogo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enum RuleDomain e os mapas de quadro do hub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procura um domínio de Quadro 11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existem louos_quadro10 e louos_quadro11a</w:t>
      </w:r>
    </w:p>
    <w:p/>
    <w:p>
      <w:r>
        <w:rPr>
          <w:rFonts w:ascii="Arial" w:hAnsi="Arial"/>
          <w:b/>
          <w:sz w:val="22"/>
        </w:rPr>
        <w:t>Cenário 2: CA-02 — Parâmetro recusado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mantenedor com manter-louos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quadro igual a quadro11 para abrir rascunho ou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o quadro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HU.017 - MANTER QUADRO 11 -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