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HU.018 – MANTER QUADRO 11A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HU-018. Consultar e versionar o Quadro 11A da LOUOS (condições complementares por classe de via), sem alterar a versão vigente no lugar Regras evidenciadas no código: (1) Domínio louos_quadro11a, rótulo «Quadro 11A da LOUOS (condições complementares pela via)». (2) A publicação é sensível: publicador diferente do autor. (3) Classe de via fora do cadastro ativo bloqueia a publicação do rascunho. (4) A versão vigente consultada não recebe edição direta de linha. Fluxo evidenciado: 1. A consulta vigente lista classe de via, grupo de uso, condições e base legal. A busca atinge classe de via e grupo de uso 2. O rascunho segue o mesmo ciclo do Quadro 10: abrir ou retomar, incluir, alterar, excluir linha, importar CSV, ver diff, publicar com quatro olhos, descartar e reativar versão publicada 3. Na publicação, o serviço recusa classe de via referenciada que não exista e esteja ativa no cadastro de vias 4. O modelo CSV é classe_via,grupo_uso,condicoes,base_legal. O exemplo do controller usa classe VL e grupo nR1-01 5. O manual de montagem do CSV fica em /gestao/louos/manual?quadro=quadro11a Não evidenciado no código: Quadro 11 e Quadro 11B neste fluxo Edição da linha na versão vigente, sem rascunho. Divergência em relação à redação anterior: A redação anterior repetia as regras genéricas de resultado proibitivo e condicionante na decisão. A tela grava condições por classe de via na versão do quadro. O efeito na decisão automática é do motor que lê a versão vigente. A redação não citava o cadastro de vias como trava da publicação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Quadro 11A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Quadro 11A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quadro 11a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Consultar e versionar o Quadro 11A da LOUOS (condições complementares por classe de via), sem alterar a versão vigente no lugar.</w:t>
      </w:r>
    </w:p>
    <w:p>
      <w:pPr>
        <w:pStyle w:val="Heading1"/>
      </w:pPr>
      <w:r>
        <w:t>HISTÓRIA DE USUÁRIO: Manter Quadro 11A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com `manter-louos`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o rascunho do Quadro 11A e publicá-lo com outro usuário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as condições por classe de via entrarem em vigor como nova versão.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As mesmas do hub de quadros da HU-016. O quadro na URL é quadro11a</w:t>
      </w:r>
    </w:p>
    <w:p>
      <w:pPr>
        <w:jc w:val="both"/>
      </w:pPr>
      <w:r>
        <w:rPr>
          <w:rFonts w:ascii="Arial" w:hAnsi="Arial"/>
          <w:sz w:val="24"/>
        </w:rPr>
        <w:t>• Consulta da aba: consultar-louos. Escrita: manter-louos</w:t>
      </w:r>
    </w:p>
    <w:p>
      <w:pPr>
        <w:jc w:val="both"/>
      </w:pPr>
      <w:r>
        <w:rPr>
          <w:rFonts w:ascii="Arial" w:hAnsi="Arial"/>
          <w:sz w:val="24"/>
        </w:rPr>
        <w:t>• Menu Regras, Motor de regras. O cadastro das classes de via usadas na publicação é a HU-166</w:t>
      </w:r>
    </w:p>
    <w:p>
      <w:pPr>
        <w:jc w:val="both"/>
      </w:pPr>
      <w:r>
        <w:rPr>
          <w:rFonts w:ascii="Arial" w:hAnsi="Arial"/>
          <w:sz w:val="24"/>
        </w:rPr>
        <w:t>• classe_via obrigatória, até 50 caracteres</w:t>
      </w:r>
    </w:p>
    <w:p>
      <w:pPr>
        <w:jc w:val="both"/>
      </w:pPr>
      <w:r>
        <w:rPr>
          <w:rFonts w:ascii="Arial" w:hAnsi="Arial"/>
          <w:sz w:val="24"/>
        </w:rPr>
        <w:t>• grupo_uso opcional, até 50</w:t>
      </w:r>
    </w:p>
    <w:p>
      <w:pPr>
        <w:jc w:val="both"/>
      </w:pPr>
      <w:r>
        <w:rPr>
          <w:rFonts w:ascii="Arial" w:hAnsi="Arial"/>
          <w:sz w:val="24"/>
        </w:rPr>
        <w:t>• condicoes opcional, array</w:t>
      </w:r>
    </w:p>
    <w:p>
      <w:pPr>
        <w:jc w:val="both"/>
      </w:pPr>
      <w:r>
        <w:rPr>
          <w:rFonts w:ascii="Arial" w:hAnsi="Arial"/>
          <w:sz w:val="24"/>
        </w:rPr>
        <w:t>• base_legal e observacao opcionais</w:t>
      </w:r>
    </w:p>
    <w:p>
      <w:pPr>
        <w:jc w:val="both"/>
      </w:pPr>
      <w:r>
        <w:rPr>
          <w:rFonts w:ascii="Arial" w:hAnsi="Arial"/>
          <w:sz w:val="24"/>
        </w:rPr>
        <w:t>• CSV csv ou txt, até 5 MB</w:t>
      </w:r>
    </w:p>
    <w:p>
      <w:pPr>
        <w:jc w:val="both"/>
      </w:pPr>
      <w:r>
        <w:rPr>
          <w:rFonts w:ascii="Arial" w:hAnsi="Arial"/>
          <w:sz w:val="24"/>
        </w:rPr>
        <w:t>• quadro aceito: quadro11a (ou quadro10 no mesmo validador)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Quadro 11A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Quadro 11A]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Lista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versão vigente do Quadro 11A e usuário com consultar-louos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seleciona quadro11a no hub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classe de via, grupo de uso, condições e base legal dessa versão</w:t>
      </w:r>
    </w:p>
    <w:p/>
    <w:p>
      <w:r>
        <w:rPr>
          <w:rFonts w:ascii="Arial" w:hAnsi="Arial"/>
          <w:b/>
          <w:sz w:val="22"/>
        </w:rPr>
        <w:t>Cenário 2: CA-02 — Rascunho isolado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mantenedor com manter-louos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altera uma linha no rascunho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versão vigente permanece até a publicação</w:t>
      </w:r>
    </w:p>
    <w:p/>
    <w:p>
      <w:r>
        <w:rPr>
          <w:rFonts w:ascii="Arial" w:hAnsi="Arial"/>
          <w:b/>
          <w:sz w:val="22"/>
        </w:rPr>
        <w:t>Cenário 3: CA-03 — Via não cadastrada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rascunho que cita classe de via inativa ou inexistente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outro usuário publica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recusada e a vigente não muda</w:t>
      </w:r>
    </w:p>
    <w:p/>
    <w:p>
      <w:r>
        <w:rPr>
          <w:rFonts w:ascii="Arial" w:hAnsi="Arial"/>
          <w:b/>
          <w:sz w:val="22"/>
        </w:rPr>
        <w:t>Cenário 4: CA-04 — Autor não publica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autor do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mesmo tenta publicar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por quatro olhos é recusada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HU.018 - MANTER QUADRO 11A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