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
    <w:p>
      <w:pPr>
        <w:jc w:val="center"/>
      </w:pPr>
      <w:r>
        <w:rPr>
          <w:rFonts w:ascii="Arial" w:hAnsi="Arial"/>
          <w:b/>
          <w:sz w:val="28"/>
        </w:rPr>
        <w:t>HU.019 – MANTER CONDICIONANTES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pelo código-fonte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Catálogo Viabiliza: HU-019. A redação anterior pedia um cadastro próprio de condicionante (pergunta, regra, crítica e textos de parecer). O código não tem esse CRUD. Condicionantes aparecem como linhas da planilha de tratamento e como referência no Quadro 10 Regras evidenciadas no código: (1) A condicionante da planilha é dado da versão de risco_tratamento, não um catálogo editável linha a linha. (2) A referência no Quadro 10 é texto livre limitado, não uma chave estrangeira validada contra um cadastro de condicionantes. (3) Não há versionamento próprio de «decisões já tomadas mantêm a condicionante da época» nesta tela. O que é versionado é a planilha inteira e o Quadro 10. Fluxo evidenciado: 1. LouosController::dadosEnquadramento lê TratamentoCondicionante da versão vigente de risco_tratamento, ordenado por número, com numero, texto e observacao 2. A contagem condicionantes entra no resumo da aba 3. Essas linhas mudam quando uma planilha nova é importada e publicada. Não há rota de criar, editar ou excluir uma condicionante isolada 4. A linha do Quadro 10 pode guardar condicionante_ref. O enum Quadro10Permissao documenta que permitido_condicionado remete a essa referência, resolvida pelo motor no consolidado 5. RuleDomain::Condicionante existe e isSensitive() devolve falso. Não há controller de manutenção desse domínio 6. O CnaeController declara que a validação de condicionantes da VISA foi retirada da ficha Não evidenciado no código: CRUD de pergunta, regra, crítica e texto de parecer Select de perguntas reutilizáveis Versionamento isolado da condicionante, separado da versão da planilha ou do Quadro 10 Reclassificação de risco pela resposta do requerente nesta tela de administração. Divergência em relação à redação anterior: A redação anterior exigia pergunta reutilizável em select, regra numérica, crítica em select, textos de parecer e efeito de reclassificação de risco, no modelo do SAPS. Esse cadastro não está implementado. A ficha do CNAE também não mantém mais a pergunta sanitária. O que permanece é a lista importada na planilha e a referência textual no Quadro 10</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HISTÓRIA DE USUÁRIO: Manter condicionantes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Manter condicionantes</w:t>
      </w:r>
    </w:p>
    <w:p>
      <w:r>
        <w:rPr>
          <w:rFonts w:ascii="Arial" w:hAnsi="Arial"/>
          <w:sz w:val="22"/>
        </w:rPr>
        <w:t xml:space="preserve">  COMPORTAMENTO ESPERADO TELA 1</w:t>
      </w:r>
    </w:p>
    <w:p>
      <w:r>
        <w:rPr>
          <w:rFonts w:ascii="Arial" w:hAnsi="Arial"/>
          <w:sz w:val="22"/>
        </w:rPr>
        <w:t>APROVAÇÃO DO REQUISITO</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manter condicionantes</w:t>
      </w:r>
      <w:r>
        <w:rPr>
          <w:rFonts w:ascii="Arial" w:hAnsi="Arial"/>
          <w:b/>
          <w:sz w:val="24"/>
        </w:rPr>
        <w:t xml:space="preserve">, de modo que </w:t>
      </w:r>
      <w:r>
        <w:rPr>
          <w:rFonts w:ascii="Arial" w:hAnsi="Arial"/>
          <w:b w:val="0"/>
          <w:sz w:val="24"/>
        </w:rPr>
        <w:t>A redação anterior pedia um cadastro próprio de condicionante (pergunta, regra, crítica e textos de parecer). O código não tem esse CRUD. Condicionantes aparecem como linhas da planilha de tratamento e como referência no Quadro 10.</w:t>
      </w:r>
    </w:p>
    <w:p>
      <w:pPr>
        <w:pStyle w:val="Heading1"/>
      </w:pPr>
      <w:r>
        <w:t>HISTÓRIA DE USUÁRIO: Manter condicionantes</w:t>
      </w:r>
    </w:p>
    <w:p>
      <w:pPr>
        <w:jc w:val="both"/>
      </w:pPr>
      <w:r>
        <w:rPr>
          <w:rFonts w:ascii="Arial" w:hAnsi="Arial"/>
          <w:b/>
          <w:sz w:val="24"/>
        </w:rPr>
        <w:t xml:space="preserve">Como </w:t>
      </w:r>
      <w:r>
        <w:rPr>
          <w:rFonts w:ascii="Arial" w:hAnsi="Arial"/>
          <w:b w:val="0"/>
          <w:sz w:val="24"/>
        </w:rPr>
        <w:t>consulente do motor com `consultar-cnaes`</w:t>
      </w:r>
      <w:r>
        <w:rPr>
          <w:rFonts w:ascii="Arial" w:hAnsi="Arial"/>
          <w:b/>
          <w:sz w:val="24"/>
        </w:rPr>
        <w:t xml:space="preserve"> quero </w:t>
      </w:r>
      <w:r>
        <w:rPr>
          <w:rFonts w:ascii="Arial" w:hAnsi="Arial"/>
          <w:b w:val="0"/>
          <w:sz w:val="24"/>
        </w:rPr>
        <w:t>ver as condicionantes da planilha de tratamento vigente</w:t>
      </w:r>
      <w:r>
        <w:rPr>
          <w:rFonts w:ascii="Arial" w:hAnsi="Arial"/>
          <w:b/>
          <w:sz w:val="24"/>
        </w:rPr>
        <w:t xml:space="preserve">, de modo que </w:t>
      </w:r>
      <w:r>
        <w:rPr>
          <w:rFonts w:ascii="Arial" w:hAnsi="Arial"/>
          <w:b w:val="0"/>
          <w:sz w:val="24"/>
        </w:rPr>
        <w:t>saber quais textos acompanham a versão publicada. Não há, no código, o papel de cadastrar pergunta reutilizável, regra numérica e crítica em tela própria.</w:t>
      </w:r>
    </w:p>
    <w:p>
      <w:pPr>
        <w:pStyle w:val="Heading1"/>
      </w:pPr>
      <w:r>
        <w:t>PRÉ-REQUISITOS</w:t>
      </w:r>
    </w:p>
    <w:p>
      <w:pPr>
        <w:jc w:val="both"/>
      </w:pPr>
      <w:r>
        <w:rPr>
          <w:rFonts w:ascii="Arial" w:hAnsi="Arial"/>
          <w:sz w:val="24"/>
        </w:rPr>
        <w:t>• A lista de condicionantes sai na aba Enquadramento do hub, junto com a planilha (HU-015). Leitura: consultar-cnaes. Troca da lista: importar e publicar a planilha com manter-louos</w:t>
      </w:r>
    </w:p>
    <w:p>
      <w:pPr>
        <w:jc w:val="both"/>
      </w:pPr>
      <w:r>
        <w:rPr>
          <w:rFonts w:ascii="Arial" w:hAnsi="Arial"/>
          <w:sz w:val="24"/>
        </w:rPr>
        <w:t>• No rascunho do Quadro 10, o campo condicionante_ref é texto opcional de até 50 caracteres, gravado com manter-louos</w:t>
      </w:r>
    </w:p>
    <w:p>
      <w:pPr>
        <w:jc w:val="both"/>
      </w:pPr>
      <w:r>
        <w:rPr>
          <w:rFonts w:ascii="Arial" w:hAnsi="Arial"/>
          <w:sz w:val="24"/>
        </w:rPr>
        <w:t>• A ficha do CNAE não edita condicionante sanitária</w:t>
      </w:r>
    </w:p>
    <w:p>
      <w:pPr>
        <w:jc w:val="both"/>
      </w:pPr>
      <w:r>
        <w:rPr>
          <w:rFonts w:ascii="Arial" w:hAnsi="Arial"/>
          <w:sz w:val="24"/>
        </w:rPr>
        <w:t>• Não há Form Request de condicionante</w:t>
      </w:r>
    </w:p>
    <w:p>
      <w:pPr>
        <w:jc w:val="both"/>
      </w:pPr>
      <w:r>
        <w:rPr>
          <w:rFonts w:ascii="Arial" w:hAnsi="Arial"/>
          <w:sz w:val="24"/>
        </w:rPr>
        <w:t>• Na linha do Quadro 10, condicionante_ref é opcional, string, máximo 50</w:t>
      </w:r>
    </w:p>
    <w:p>
      <w:pPr>
        <w:pStyle w:val="Heading1"/>
      </w:pPr>
      <w:r>
        <w:t>DEPENDÊNCIAS</w:t>
      </w:r>
    </w:p>
    <w:p>
      <w:r>
        <w:rPr>
          <w:b/>
          <w:sz w:val="24"/>
        </w:rPr>
        <w:t>Passadas</w:t>
      </w:r>
    </w:p>
    <w:p>
      <w:pPr>
        <w:jc w:val="both"/>
      </w:pPr>
      <w:r>
        <w:rPr>
          <w:rFonts w:ascii="Arial" w:hAnsi="Arial"/>
          <w:sz w:val="24"/>
        </w:rPr>
        <w:t>• Nenhuma além do que o código desta história já exige</w:t>
      </w:r>
    </w:p>
    <w:p/>
    <w:p>
      <w:r>
        <w:rPr>
          <w:b/>
          <w:sz w:val="24"/>
        </w:rPr>
        <w:t>Futuras</w:t>
      </w:r>
    </w:p>
    <w:p>
      <w:pPr>
        <w:jc w:val="both"/>
      </w:pPr>
      <w:r>
        <w:rPr>
          <w:rFonts w:ascii="Arial" w:hAnsi="Arial"/>
          <w:sz w:val="24"/>
        </w:rPr>
        <w:t>• Nenhuma</w:t>
      </w:r>
    </w:p>
    <w:p>
      <w:pPr>
        <w:pStyle w:val="Heading1"/>
      </w:pPr>
      <w:r>
        <w:t>INTERFACE DE USUÁRIO</w:t>
      </w:r>
    </w:p>
    <w:p>
      <w:pPr>
        <w:pStyle w:val="Heading2"/>
      </w:pPr>
      <w:r>
        <w:t>TELA 1 - Manter condicionantes</w:t>
      </w:r>
    </w:p>
    <w:p>
      <w:r>
        <w:rPr>
          <w:b/>
          <w:sz w:val="22"/>
        </w:rPr>
        <w:t xml:space="preserve">Caminho no menu: </w:t>
      </w:r>
      <w:r>
        <w:rPr>
          <w:sz w:val="22"/>
        </w:rPr>
        <w:t>Conforme a permissão e a rota descritas nos pré-requisitos</w:t>
      </w:r>
    </w:p>
    <w:p/>
    <w:p>
      <w:pPr>
        <w:jc w:val="center"/>
      </w:pPr>
      <w:r>
        <w:rPr>
          <w:i/>
          <w:color w:val="999999"/>
          <w:sz w:val="24"/>
        </w:rPr>
        <w:t>[INSERIR PRINT DA TELA: Manter condicionantes]</w:t>
      </w:r>
    </w:p>
    <w:p/>
    <w:p>
      <w:pPr>
        <w:pStyle w:val="Heading3"/>
      </w:pPr>
      <w:r>
        <w:t>COMPORTAMENTO ESPERADO TELA 1</w:t>
      </w:r>
    </w:p>
    <w:p>
      <w:r>
        <w:rPr>
          <w:rFonts w:ascii="Arial" w:hAnsi="Arial"/>
          <w:b/>
          <w:sz w:val="22"/>
        </w:rPr>
        <w:t>Cenário 1: CA-01 — Leitura na aba Enquadramento</w:t>
      </w:r>
    </w:p>
    <w:p>
      <w:r>
        <w:rPr>
          <w:rFonts w:ascii="Arial" w:hAnsi="Arial"/>
          <w:b/>
          <w:sz w:val="22"/>
        </w:rPr>
        <w:t xml:space="preserve">Dado que </w:t>
      </w:r>
      <w:r>
        <w:rPr>
          <w:rFonts w:ascii="Arial" w:hAnsi="Arial"/>
          <w:sz w:val="22"/>
        </w:rPr>
        <w:t>uma versão vigente de risco_tratamento com condicionantes</w:t>
      </w:r>
    </w:p>
    <w:p>
      <w:r>
        <w:rPr>
          <w:rFonts w:ascii="Arial" w:hAnsi="Arial"/>
          <w:b/>
          <w:sz w:val="22"/>
        </w:rPr>
        <w:t xml:space="preserve">Quando </w:t>
      </w:r>
      <w:r>
        <w:rPr>
          <w:rFonts w:ascii="Arial" w:hAnsi="Arial"/>
          <w:sz w:val="22"/>
        </w:rPr>
        <w:t>um usuário com consultar-cnaes abre a aba Enquadramento</w:t>
      </w:r>
    </w:p>
    <w:p>
      <w:r>
        <w:rPr>
          <w:rFonts w:ascii="Arial" w:hAnsi="Arial"/>
          <w:b/>
          <w:sz w:val="22"/>
        </w:rPr>
        <w:t xml:space="preserve">Então </w:t>
      </w:r>
      <w:r>
        <w:rPr>
          <w:rFonts w:ascii="Arial" w:hAnsi="Arial"/>
          <w:sz w:val="22"/>
        </w:rPr>
        <w:t>recebe número, texto e observação de cada condicionante dessa versão</w:t>
      </w:r>
    </w:p>
    <w:p/>
    <w:p>
      <w:r>
        <w:rPr>
          <w:rFonts w:ascii="Arial" w:hAnsi="Arial"/>
          <w:b/>
          <w:sz w:val="22"/>
        </w:rPr>
        <w:t>Cenário 2: CA-02 — Sem CRUD isolado</w:t>
      </w:r>
    </w:p>
    <w:p>
      <w:r>
        <w:rPr>
          <w:rFonts w:ascii="Arial" w:hAnsi="Arial"/>
          <w:b/>
          <w:sz w:val="22"/>
        </w:rPr>
        <w:t xml:space="preserve">Dado que </w:t>
      </w:r>
      <w:r>
        <w:rPr>
          <w:rFonts w:ascii="Arial" w:hAnsi="Arial"/>
          <w:sz w:val="22"/>
        </w:rPr>
        <w:t>as rotas de routes/gestao.php</w:t>
      </w:r>
    </w:p>
    <w:p>
      <w:r>
        <w:rPr>
          <w:rFonts w:ascii="Arial" w:hAnsi="Arial"/>
          <w:b/>
          <w:sz w:val="22"/>
        </w:rPr>
        <w:t xml:space="preserve">Quando </w:t>
      </w:r>
      <w:r>
        <w:rPr>
          <w:rFonts w:ascii="Arial" w:hAnsi="Arial"/>
          <w:sz w:val="22"/>
        </w:rPr>
        <w:t>se procura um recurso de condicionante com store, update ou destroy</w:t>
      </w:r>
    </w:p>
    <w:p>
      <w:r>
        <w:rPr>
          <w:rFonts w:ascii="Arial" w:hAnsi="Arial"/>
          <w:b/>
          <w:sz w:val="22"/>
        </w:rPr>
        <w:t xml:space="preserve">Então </w:t>
      </w:r>
      <w:r>
        <w:rPr>
          <w:rFonts w:ascii="Arial" w:hAnsi="Arial"/>
          <w:sz w:val="22"/>
        </w:rPr>
        <w:t>não há controller nem rota de manutenção própria. A alteração vem da importação da planilha</w:t>
      </w:r>
    </w:p>
    <w:p/>
    <w:p>
      <w:r>
        <w:rPr>
          <w:rFonts w:ascii="Arial" w:hAnsi="Arial"/>
          <w:b/>
          <w:sz w:val="22"/>
        </w:rPr>
        <w:t>Cenário 3: CA-03 — Referência no Quadro 10</w:t>
      </w:r>
    </w:p>
    <w:p>
      <w:r>
        <w:rPr>
          <w:rFonts w:ascii="Arial" w:hAnsi="Arial"/>
          <w:b/>
          <w:sz w:val="22"/>
        </w:rPr>
        <w:t xml:space="preserve">Dado que </w:t>
      </w:r>
      <w:r>
        <w:rPr>
          <w:rFonts w:ascii="Arial" w:hAnsi="Arial"/>
          <w:sz w:val="22"/>
        </w:rPr>
        <w:t>um rascunho do Quadro 10</w:t>
      </w:r>
    </w:p>
    <w:p>
      <w:r>
        <w:rPr>
          <w:rFonts w:ascii="Arial" w:hAnsi="Arial"/>
          <w:b/>
          <w:sz w:val="22"/>
        </w:rPr>
        <w:t xml:space="preserve">Quando </w:t>
      </w:r>
      <w:r>
        <w:rPr>
          <w:rFonts w:ascii="Arial" w:hAnsi="Arial"/>
          <w:sz w:val="22"/>
        </w:rPr>
        <w:t>o mantenedor grava condicionante_ref</w:t>
      </w:r>
    </w:p>
    <w:p>
      <w:r>
        <w:rPr>
          <w:rFonts w:ascii="Arial" w:hAnsi="Arial"/>
          <w:b/>
          <w:sz w:val="22"/>
        </w:rPr>
        <w:t xml:space="preserve">Então </w:t>
      </w:r>
      <w:r>
        <w:rPr>
          <w:rFonts w:ascii="Arial" w:hAnsi="Arial"/>
          <w:sz w:val="22"/>
        </w:rPr>
        <w:t>o texto de até 50 caracteres fica na linha do rascunho, sem consulta a um cadastro de perguntas</w:t>
      </w:r>
    </w:p>
    <w:p/>
    <w:p>
      <w:r>
        <w:br w:type="page"/>
      </w:r>
    </w:p>
    <w:p>
      <w:pPr>
        <w:pStyle w:val="Heading1"/>
      </w:pPr>
      <w:r>
        <w:t>APROVAÇÃO DO REQUISITO</w:t>
      </w:r>
    </w:p>
    <w:p>
      <w:pPr>
        <w:jc w:val="both"/>
      </w:pPr>
      <w:r>
        <w:rPr>
          <w:rFonts w:ascii="Arial" w:hAnsi="Arial"/>
          <w:sz w:val="24"/>
        </w:rPr>
        <w:t>A Sudoeste Informática esclarece que o desenvolvimento das funcionalidades descritas neste documento foi realizado de acordo com os requisitos e especificações fornecidos pelo cliente. Nossa equipe seguiu rigorosamente as instruções recebidas, garantindo que o sistema esteja alinhado com o que foi solicitado.</w:t>
      </w:r>
    </w:p>
    <w:p>
      <w:pPr>
        <w:jc w:val="both"/>
      </w:pPr>
      <w:r>
        <w:rPr>
          <w:rFonts w:ascii="Arial" w:hAnsi="Arial"/>
          <w:sz w:val="24"/>
        </w:rPr>
        <w:t>Para evitar possíveis retrabalhos ou ajustes futuros, sugerimos que o cliente revise atentamente os requisitos apresentados, verificando se eles atendem plenamente às suas necessidades e expectativas, bem como se estão em conformidade com eventuais normas aplicáveis ao seu negócio.</w:t>
      </w:r>
    </w:p>
    <w:p>
      <w:pPr>
        <w:jc w:val="both"/>
      </w:pPr>
      <w:r>
        <w:rPr>
          <w:rFonts w:ascii="Arial" w:hAnsi="Arial"/>
          <w:sz w:val="24"/>
        </w:rPr>
        <w:t>Reafirmamos nosso compromisso de entregar um software de qualidade que agregue valor às operações do cliente, e a validação cuidadosa dos requisitos é um passo importante para garantir o sucesso do projeto.</w:t>
      </w:r>
    </w:p>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APROVAÇÃO DO REQUISITO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SETOR</w:t>
            </w:r>
          </w:p>
        </w:tc>
        <w:tc>
          <w:tcPr>
            <w:tcW w:type="dxa" w:w="2412"/>
            <w:shd w:fill="235789"/>
          </w:tcPr>
          <w:p>
            <w:pPr>
              <w:jc w:val="center"/>
            </w:pPr>
            <w:r/>
            <w:r>
              <w:rPr>
                <w:rFonts w:ascii="Arial" w:hAnsi="Arial"/>
                <w:b/>
                <w:color w:val="FFFFFF"/>
                <w:sz w:val="22"/>
              </w:rPr>
              <w:t>NOME</w:t>
            </w:r>
          </w:p>
        </w:tc>
        <w:tc>
          <w:tcPr>
            <w:tcW w:type="dxa" w:w="2412"/>
            <w:shd w:fill="235789"/>
          </w:tcPr>
          <w:p>
            <w:pPr>
              <w:jc w:val="center"/>
            </w:pPr>
            <w:r/>
            <w:r>
              <w:rPr>
                <w:rFonts w:ascii="Arial" w:hAnsi="Arial"/>
                <w:b/>
                <w:color w:val="FFFFFF"/>
                <w:sz w:val="22"/>
              </w:rPr>
              <w:t>ASSINATURA</w:t>
            </w:r>
          </w:p>
        </w:tc>
      </w:tr>
      <w:tr>
        <w:tc>
          <w:tcPr>
            <w:tcW w:type="dxa" w:w="2412"/>
          </w:tcPr>
          <w:p/>
        </w:tc>
        <w:tc>
          <w:tcPr>
            <w:tcW w:type="dxa" w:w="2412"/>
          </w:tcPr>
          <w:p/>
        </w:tc>
        <w:tc>
          <w:tcPr>
            <w:tcW w:type="dxa" w:w="2412"/>
          </w:tcPr>
          <w:p/>
        </w:tc>
        <w:tc>
          <w:tcPr>
            <w:tcW w:type="dxa" w:w="2412"/>
          </w:tcPr>
          <w:p/>
        </w:tc>
      </w:tr>
      <w:tr>
        <w:tc>
          <w:tcPr>
            <w:tcW w:type="dxa" w:w="2412"/>
          </w:tcPr>
          <w:p/>
        </w:tc>
        <w:tc>
          <w:tcPr>
            <w:tcW w:type="dxa" w:w="2412"/>
          </w:tcPr>
          <w:p/>
        </w:tc>
        <w:tc>
          <w:tcPr>
            <w:tcW w:type="dxa" w:w="2412"/>
          </w:tcPr>
          <w:p/>
        </w:tc>
        <w:tc>
          <w:tcPr>
            <w:tcW w:type="dxa" w:w="2412"/>
          </w:tcPr>
          <w:p/>
        </w:tc>
      </w:tr>
      <w:tr>
        <w:tc>
          <w:tcPr>
            <w:tcW w:type="dxa" w:w="2412"/>
          </w:tcPr>
          <w:p/>
        </w:tc>
        <w:tc>
          <w:tcPr>
            <w:tcW w:type="dxa" w:w="2412"/>
          </w:tcPr>
          <w:p/>
        </w:tc>
        <w:tc>
          <w:tcPr>
            <w:tcW w:type="dxa" w:w="2412"/>
          </w:tcPr>
          <w:p/>
        </w:tc>
        <w:tc>
          <w:tcPr>
            <w:tcW w:type="dxa" w:w="2412"/>
          </w:tcPr>
          <w:p/>
        </w:tc>
      </w:tr>
      <w:tr>
        <w:tc>
          <w:tcPr>
            <w:tcW w:type="dxa" w:w="2412"/>
          </w:tcPr>
          <w:p/>
        </w:tc>
        <w:tc>
          <w:tcPr>
            <w:tcW w:type="dxa" w:w="2412"/>
          </w:tcPr>
          <w:p/>
        </w:tc>
        <w:tc>
          <w:tcPr>
            <w:tcW w:type="dxa" w:w="2412"/>
          </w:tcPr>
          <w:p/>
        </w:tc>
        <w:tc>
          <w:tcPr>
            <w:tcW w:type="dxa" w:w="2412"/>
          </w:tcPr>
          <w:p/>
        </w:tc>
      </w:tr>
      <w:tr>
        <w:tc>
          <w:tcPr>
            <w:tcW w:type="dxa" w:w="2412"/>
          </w:tcPr>
          <w:p/>
        </w:tc>
        <w:tc>
          <w:tcPr>
            <w:tcW w:type="dxa" w:w="2412"/>
          </w:tcPr>
          <w:p/>
        </w:tc>
        <w:tc>
          <w:tcPr>
            <w:tcW w:type="dxa" w:w="2412"/>
          </w:tcPr>
          <w:p/>
        </w:tc>
        <w:tc>
          <w:tcPr>
            <w:tcW w:type="dxa" w:w="2412"/>
          </w:tcPr>
          <w:p/>
        </w:tc>
      </w:tr>
      <w:tr>
        <w:tc>
          <w:tcPr>
            <w:tcW w:type="dxa" w:w="2412"/>
          </w:tcPr>
          <w:p/>
        </w:tc>
        <w:tc>
          <w:tcPr>
            <w:tcW w:type="dxa" w:w="2412"/>
          </w:tcPr>
          <w:p/>
        </w:tc>
        <w:tc>
          <w:tcPr>
            <w:tcW w:type="dxa" w:w="2412"/>
          </w:tcPr>
          <w:p/>
        </w:tc>
        <w:tc>
          <w:tcPr>
            <w:tcW w:type="dxa" w:w="2412"/>
          </w:tcPr>
          <w:p/>
        </w:tc>
      </w:tr>
      <w:tr>
        <w:tc>
          <w:tcPr>
            <w:tcW w:type="dxa" w:w="2412"/>
          </w:tcPr>
          <w:p/>
        </w:tc>
        <w:tc>
          <w:tcPr>
            <w:tcW w:type="dxa" w:w="2412"/>
          </w:tcPr>
          <w:p/>
        </w:tc>
        <w:tc>
          <w:tcPr>
            <w:tcW w:type="dxa" w:w="2412"/>
          </w:tcPr>
          <w:p/>
        </w:tc>
        <w:tc>
          <w:tcPr>
            <w:tcW w:type="dxa" w:w="2412"/>
          </w:tcPr>
          <w:p/>
        </w:tc>
      </w:tr>
    </w:tbl>
    <w:sectPr w:rsidR="00FC693F" w:rsidRPr="0006063C" w:rsidSect="00034616">
      <w:headerReference w:type="default" r:id="rId9"/>
      <w:footerReference w:type="default" r:id="rId10"/>
      <w:pgSz w:w="12240" w:h="15840"/>
      <w:pgMar w:top="1728"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pacing w:after="0" w:before="0" w:line="240" w:lineRule="auto"/>
    </w:pPr>
    <w:r>
      <w:drawing>
        <wp:inline xmlns:a="http://schemas.openxmlformats.org/drawingml/2006/main" xmlns:pic="http://schemas.openxmlformats.org/drawingml/2006/picture">
          <wp:extent cx="6126480" cy="219456"/>
          <wp:docPr id="1" name="Picture 1"/>
          <wp:cNvGraphicFramePr>
            <a:graphicFrameLocks noChangeAspect="1"/>
          </wp:cNvGraphicFramePr>
          <a:graphic>
            <a:graphicData uri="http://schemas.openxmlformats.org/drawingml/2006/picture">
              <pic:pic>
                <pic:nvPicPr>
                  <pic:cNvPr id="0" name="footer_bar.png"/>
                  <pic:cNvPicPr/>
                </pic:nvPicPr>
                <pic:blipFill>
                  <a:blip r:embed="rId1"/>
                  <a:stretch>
                    <a:fillRect/>
                  </a:stretch>
                </pic:blipFill>
                <pic:spPr>
                  <a:xfrm>
                    <a:off x="0" y="0"/>
                    <a:ext cx="6126480" cy="219456"/>
                  </a:xfrm>
                  <a:prstGeom prst="rect"/>
                </pic:spPr>
              </pic:pic>
            </a:graphicData>
          </a:graphic>
        </wp:inline>
      </w:drawing>
    </w:r>
  </w:p>
  <w:p>
    <w:pPr>
      <w:jc w:val="right"/>
      <w:spacing w:after="0" w:before="0" w:line="240" w:lineRule="auto"/>
    </w:pPr>
    <w:r>
      <w:rPr>
        <w:sz w:val="16"/>
      </w:rPr>
      <w:t xml:space="preserve">Página </w:t>
    </w:r>
    <w:r>
      <w:fldChar w:fldCharType="begin"/>
      <w:instrText xml:space="preserve"> PAGE </w:instrText>
      <w:fldChar w:fldCharType="separate"/>
      <w:fldChar w:fldCharType="end"/>
    </w:r>
    <w:r>
      <w:rPr>
        <w:sz w:val="16"/>
      </w:rPr>
      <w:t xml:space="preserve"> de </w:t>
    </w:r>
    <w: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pacing w:after="0" w:before="0" w:line="240" w:lineRule="auto"/>
    </w:pPr>
    <w:r>
      <w:drawing>
        <wp:inline xmlns:a="http://schemas.openxmlformats.org/drawingml/2006/main" xmlns:pic="http://schemas.openxmlformats.org/drawingml/2006/picture">
          <wp:extent cx="6126480" cy="914400"/>
          <wp:docPr id="1" name="Picture 1"/>
          <wp:cNvGraphicFramePr>
            <a:graphicFrameLocks noChangeAspect="1"/>
          </wp:cNvGraphicFramePr>
          <a:graphic>
            <a:graphicData uri="http://schemas.openxmlformats.org/drawingml/2006/picture">
              <pic:pic>
                <pic:nvPicPr>
                  <pic:cNvPr id="0" name="logo_sudoeste.png"/>
                  <pic:cNvPicPr/>
                </pic:nvPicPr>
                <pic:blipFill>
                  <a:blip r:embed="rId1"/>
                  <a:stretch>
                    <a:fillRect/>
                  </a:stretch>
                </pic:blipFill>
                <pic:spPr>
                  <a:xfrm>
                    <a:off x="0" y="0"/>
                    <a:ext cx="6126480" cy="914400"/>
                  </a:xfrm>
                  <a:prstGeom prst="rect"/>
                </pic:spPr>
              </pic:pic>
            </a:graphicData>
          </a:graphic>
        </wp:inline>
      </w:drawing>
    </w:r>
  </w:p>
  <w:p>
    <w:pPr>
      <w:spacing w:after="0" w:before="0" w:line="240" w:lineRule="auto"/>
    </w:pPr>
    <w:r>
      <w:rPr>
        <w:rFonts w:ascii="Arial" w:hAnsi="Arial"/>
        <w:sz w:val="16"/>
      </w:rPr>
      <w:t>HU.019 - MANTER CONDICIONANTES - Versão 2.0 – 16/10/2026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