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HU.024 – ATUALIZAR DADOS EMPRESARIAIS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HU-024. Permitir que quem tem vínculo ativo altere os dados complementares da empresa, sem mudar o CNPJ Regras evidenciadas no código: (1) CNPJ não entra nas regras de atualização. Valor enviado nesse campo não é gravado. (2) Origem (source), protocolo REDESIM e data de sincronização não fazem parte do formulário de atualização. (3) CNAEs e encerramento de vínculo têm rotas próprias. Fluxo evidenciado: 1. No detalhe /portal/empresas/{company}, a tela mostra identificação, endereço, contato, origem, protocolo REDESIM e data de sincronização quando existirem 2. Com permissão de atualizar, o cidadão envia PUT /portal/empresas/{company} 3. CompanyController::update grava apenas o que UpdateCompanyRequest validou 4. Volta à mesma página com "Dados da empresa atualizados com sucesso." 5. A alteração da empresa é auditada pelo HasAuditoria do modelo Não evidenciado no código: Alteração de CNPJ, de origem ou de protocolo REDESIM por esta tela Aprovação da SEDUR antes de gravar a alteração. Divergência em relação à redação anterior: A redação anterior falava em "usuário autorizado" e em fluxo genérico de integração. O código autoriza pelo vínculo ativo com a empresa e torna o CNPJ imutável nesta atualização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Atualizar dados empresariais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Atualizar dados empresariais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atualizar dados empresariais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quem tem vínculo ativo altere os dados complementares da empresa, sem mudar o CNPJ.</w:t>
      </w:r>
    </w:p>
    <w:p>
      <w:pPr>
        <w:pStyle w:val="Heading1"/>
      </w:pPr>
      <w:r>
        <w:t>HISTÓRIA DE USUÁRIO: Atualizar dados empresariais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 com a empresa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atualizar razão social, endereço e contato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 cadastro usado nas solicitações.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Mesmo acesso do portal (sessão, e-mail verificado, termo LGPD)</w:t>
      </w:r>
    </w:p>
    <w:p>
      <w:pPr>
        <w:jc w:val="both"/>
      </w:pPr>
      <w:r>
        <w:rPr>
          <w:rFonts w:ascii="Arial" w:hAnsi="Arial"/>
          <w:sz w:val="24"/>
        </w:rPr>
        <w:t>• A policy update exige vínculo ativo do usuário efetivo (o representado, se houver representação)</w:t>
      </w:r>
    </w:p>
    <w:p>
      <w:pPr>
        <w:jc w:val="both"/>
      </w:pPr>
      <w:r>
        <w:rPr>
          <w:rFonts w:ascii="Arial" w:hAnsi="Arial"/>
          <w:sz w:val="24"/>
        </w:rPr>
        <w:t>• Vínculo encerrado permite ver o detalhe e impede a alteração (abilities.update falso)</w:t>
      </w:r>
    </w:p>
    <w:p>
      <w:pPr>
        <w:jc w:val="both"/>
      </w:pPr>
      <w:r>
        <w:rPr>
          <w:rFonts w:ascii="Arial" w:hAnsi="Arial"/>
          <w:sz w:val="24"/>
        </w:rPr>
        <w:t>• Quem não tem nenhum vínculo recebe 403 na policy view ao abrir o detalhe</w:t>
      </w:r>
    </w:p>
    <w:p>
      <w:pPr>
        <w:jc w:val="both"/>
      </w:pPr>
      <w:r>
        <w:rPr>
          <w:rFonts w:ascii="Arial" w:hAnsi="Arial"/>
          <w:sz w:val="24"/>
        </w:rPr>
        <w:t>• Iguais às do cadastro, exceto a ausência de CNPJ: razão social obrigatória; demais campos cadastrais opcionais, com os mesmos limites, e-mail e telefone com DDD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Atualizar dados empresariais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Atualizar dados empresariais]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Atualização com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vínculo ativo do usuário efetivo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altera a razão social ou os dados complementares válidos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atualizada e o CNPJ permanece o mesmo</w:t>
      </w:r>
    </w:p>
    <w:p/>
    <w:p>
      <w:r>
        <w:rPr>
          <w:rFonts w:ascii="Arial" w:hAnsi="Arial"/>
          <w:b/>
          <w:sz w:val="22"/>
        </w:rPr>
        <w:t>Cenário 2: CA-02 —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apenas vínculo encerrado, ou nenhum vínculo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há tentativa de atualizar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policy recusa a 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HU.024 - ATUALIZAR DADOS EMPRESARIAIS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