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HU.025 – VINCULAR CNAE PRINCIPAL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HU-025. Definir ou trocar o CNAE principal da empresa a partir da tabela oficial de CNAEs ativos Regras evidenciadas no código: (1) Só CNAE com active verdadeiro. Mensagem: "O CNAE informado não está ativo na tabela oficial.". (2) A troca não remove o antigo do cadastro: ele segue como não principal. (3) A invariante de um único principal é mantida na aplicação, na ordem rebaixar e depois promover. Fluxo evidenciado: 1. No detalhe da empresa, o cidadão pesquisa e seleciona um CNAE ativo 2. A tela pede confirmação: a troca impacta o enquadramento das próximas solicitações 3. PUT /portal/empresas/{company}/cnae-principal com cnae_id 4. CompanyCnaeService::setPrimary, em transação: o principal atual deixa de ser principal e permanece vinculado; o escolhido passa a ser o único principal (syncWithoutDetaching) 5. Auditoria empresas / cnae-principal com código anterior e código novo 6. Retorno: "CNAE principal definido com sucesso." Não evidenciado no código: Aceite de CNAE inativo na seleção manual do portal (o import por arquivo REDESIM tem regra diferente) Enquadramento LOUOS executado no momento em que o principal é salvo. Divergência em relação à redação anterior: A redação anterior não distinguia CNAE ativo, não descrevia a permanência do principal anterior como secundário e tratava a ação como fluxo genérico de sistema. O código exige CNAE ativo e audita a troca no serviço de CNAE da empresa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Vincular CNAE principal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Vincular CNAE principal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vincular cnae principal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Definir ou trocar o CNAE principal da empresa a partir da tabela oficial de CNAEs ativos.</w:t>
      </w:r>
    </w:p>
    <w:p>
      <w:pPr>
        <w:pStyle w:val="Heading1"/>
      </w:pPr>
      <w:r>
        <w:t>HISTÓRIA DE USUÁRIO: Vincular CNAE principal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vínculo ativo com a empresa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escolher o CNAE principal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a atividade principal usada no cadastro.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 autenticado, e-mail verificado e termo LGPD aceito</w:t>
      </w:r>
    </w:p>
    <w:p>
      <w:pPr>
        <w:jc w:val="both"/>
      </w:pPr>
      <w:r>
        <w:rPr>
          <w:rFonts w:ascii="Arial" w:hAnsi="Arial"/>
          <w:sz w:val="24"/>
        </w:rPr>
        <w:t>• Policy manageCnaes: vínculo ativo do usuário efetivo. Sem esse vínculo, o formulário de CNAE não é autorizado (403)</w:t>
      </w:r>
    </w:p>
    <w:p>
      <w:pPr>
        <w:jc w:val="both"/>
      </w:pPr>
      <w:r>
        <w:rPr>
          <w:rFonts w:ascii="Arial" w:hAnsi="Arial"/>
          <w:sz w:val="24"/>
        </w:rPr>
        <w:t>• A busca GET /portal/cnaes devolve no máximo 20 CNAEs ativos, por código (prefixo de dígitos) ou descrição</w:t>
      </w:r>
    </w:p>
    <w:p>
      <w:pPr>
        <w:jc w:val="both"/>
      </w:pPr>
      <w:r>
        <w:rPr>
          <w:rFonts w:ascii="Arial" w:hAnsi="Arial"/>
          <w:sz w:val="24"/>
        </w:rPr>
        <w:t>• cnae_id: obrigatório, inteiro, existente em cnaes com active verdadeiro (UpdatePrimaryCnaeRequest)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Vincular CNAE principal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Vincular CNAE principal]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Definir principal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vínculo ativo e um CNAE ativo da tabela oficial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confirma a definição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 CNAE fica como único principal e a troca é auditada com o código anterior e o novo</w:t>
      </w:r>
    </w:p>
    <w:p/>
    <w:p>
      <w:r>
        <w:rPr>
          <w:rFonts w:ascii="Arial" w:hAnsi="Arial"/>
          <w:b/>
          <w:sz w:val="22"/>
        </w:rPr>
        <w:t>Cenário 2: CA-02 — CNAE inativo ou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identificador de CNAE inativo ou ausente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requisição é enviada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com a mensagem de CNAE não ativo na tabela oficial</w:t>
      </w:r>
    </w:p>
    <w:p/>
    <w:p>
      <w:r>
        <w:rPr>
          <w:rFonts w:ascii="Arial" w:hAnsi="Arial"/>
          <w:b/>
          <w:sz w:val="22"/>
        </w:rPr>
        <w:t>Cenário 3: CA-03 — Sem vínculo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usuário sem vínculo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definir o principal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policy manageCnaes recusa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HU.025 - VINCULAR CNAE PRINCIPAL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