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HU.026 – VINCULAR CNAES SECUNDÁRIOS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HU-026. Substituir o conjunto de CNAEs secundários da empresa pelos CNAEs ativos escolhidos, preservando o principal Regras evidenciadas no código: (1) O array enviado é o conjunto final, não um acréscimo. O que sair da lista deixa de estar vinculado, salvo o principal. (2) O CNAE principal atual não pode constar da lista. Mensagem: "O CNAE principal não pode ser incluído entre os secundários.". (3) Cada item precisa ser CNAE ativo e sem repetição. Fluxo evidenciado: 1. No detalhe, o cidadão monta a lista de secundários e salva 2. PUT /portal/empresas/{company}/cnaes-secundarios envia cnaes com os identificadores 3. CompanyCnaeService::syncSecondaries sincroniza o conjunto exato: mantém a linha do principal e grava os ids informados como não principais. Lista vazia remove todos os secundários 4. Auditoria empresas / cnaes-secundarios com os códigos de antes e de depois 5. Retorno: "CNAEs secundários atualizados com sucesso." Não evidenciado no código: Limite máximo de secundários no cadastro da empresa Inclusão de CNAE inativo pela tela do portal. Divergência em relação à redação anterior: A redação anterior não descrevia a substituição do conjunto nem a proibição de repetir o principal. O código trata a lista como o conjunto final e recusa incluir o principal entre os secundários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Vincular CNAEs secundários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Vincular CNAEs secundários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vincular cnaes secundários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Substituir o conjunto de CNAEs secundários da empresa pelos CNAEs ativos escolhidos, preservando o principal.</w:t>
      </w:r>
    </w:p>
    <w:p>
      <w:pPr>
        <w:pStyle w:val="Heading1"/>
      </w:pPr>
      <w:r>
        <w:t>HISTÓRIA DE USUÁRIO: Vincular CNAEs secundários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com vínculo ativo com a empresa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marcar os CNAEs secundários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o cadastro reflita as atividades complementares.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Iguais às do CNAE principal: portal autenticado e policy manageCnaes (vínculo ativo do usuário efetivo)</w:t>
      </w:r>
    </w:p>
    <w:p>
      <w:pPr>
        <w:jc w:val="both"/>
      </w:pPr>
      <w:r>
        <w:rPr>
          <w:rFonts w:ascii="Arial" w:hAnsi="Arial"/>
          <w:sz w:val="24"/>
        </w:rPr>
        <w:t>• A busca de opções é a mesma GET /portal/cnaes, somente ativos</w:t>
      </w:r>
    </w:p>
    <w:p>
      <w:pPr>
        <w:jc w:val="both"/>
      </w:pPr>
      <w:r>
        <w:rPr>
          <w:rFonts w:ascii="Arial" w:hAnsi="Arial"/>
          <w:sz w:val="24"/>
        </w:rPr>
        <w:t>• cnaes: presente e array (vazio é válido)</w:t>
      </w:r>
    </w:p>
    <w:p>
      <w:pPr>
        <w:jc w:val="both"/>
      </w:pPr>
      <w:r>
        <w:rPr>
          <w:rFonts w:ascii="Arial" w:hAnsi="Arial"/>
          <w:sz w:val="24"/>
        </w:rPr>
        <w:t>• Cada item: inteiro, distinto, existente em cnaes ativos</w:t>
      </w:r>
    </w:p>
    <w:p>
      <w:pPr>
        <w:jc w:val="both"/>
      </w:pPr>
      <w:r>
        <w:rPr>
          <w:rFonts w:ascii="Arial" w:hAnsi="Arial"/>
          <w:sz w:val="24"/>
        </w:rPr>
        <w:t>• Mensagens: "Há CNAE inativo ou inexistente na seleção." e "Há CNAE duplicado na seleção."</w:t>
      </w:r>
    </w:p>
    <w:p>
      <w:pPr>
        <w:jc w:val="both"/>
      </w:pPr>
      <w:r>
        <w:rPr>
          <w:rFonts w:ascii="Arial" w:hAnsi="Arial"/>
          <w:sz w:val="24"/>
        </w:rPr>
        <w:t>• UpdateSecondaryCnaesRequest: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Vincular CNAEs secundários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Vincular CNAEs secundários]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Sincronizar secundários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vínculo ativo e uma lista de CNAEs ativos diferente do principal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salva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os secundários passam a ser exatamente essa lista, o principal permanece e a auditoria guarda antes e depois</w:t>
      </w:r>
    </w:p>
    <w:p/>
    <w:p>
      <w:r>
        <w:rPr>
          <w:rFonts w:ascii="Arial" w:hAnsi="Arial"/>
          <w:b/>
          <w:sz w:val="22"/>
        </w:rPr>
        <w:t>Cenário 2: CA-02 — Remover todos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vínculo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salva a lista vazia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empresa fica sem CNAEs secundários</w:t>
      </w:r>
    </w:p>
    <w:p/>
    <w:p>
      <w:r>
        <w:rPr>
          <w:rFonts w:ascii="Arial" w:hAnsi="Arial"/>
          <w:b/>
          <w:sz w:val="22"/>
        </w:rPr>
        <w:t>Cenário 3: CA-03 — Principal na lista ou CNAE inválido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lista contém o principal, um inativo, um inexistente ou um id repetido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requisição é enviada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com a mensagem correspondente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HU.026 - VINCULAR CNAES SECUNDÁRIOS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