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/>
    <w:p/>
    <w:p/>
    <w:p/>
    <w:p>
      <w:pPr>
        <w:jc w:val="center"/>
      </w:pPr>
      <w:r>
        <w:rPr>
          <w:rFonts w:ascii="Arial" w:hAnsi="Arial"/>
          <w:b/>
          <w:sz w:val="28"/>
        </w:rPr>
        <w:t>HU.040 – APLICAR QUADRO 11</w:t>
      </w:r>
    </w:p>
    <w:p>
      <w:pPr>
        <w:jc w:val="center"/>
      </w:pPr>
      <w:r>
        <w:rPr>
          <w:rFonts w:ascii="Arial" w:hAnsi="Arial"/>
          <w:b/>
          <w:sz w:val="28"/>
        </w:rPr>
        <w:t>PROJETO: Viabiliza — Sistema de Licenciamento Eletrônico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HISTÓRICO DE REVISÃO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RESUMO DAS ALTERAÇÕES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VERSÃO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Responsável</w:t>
            </w:r>
          </w:p>
        </w:tc>
      </w:tr>
      <w:tr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16/10/2026</w:t>
            </w:r>
          </w:p>
        </w:tc>
        <w:tc>
          <w:tcPr>
            <w:tcW w:type="dxa" w:w="2412"/>
          </w:tcPr>
          <w:p>
            <w:pPr>
              <w:jc w:val="left"/>
            </w:pPr>
            <w:r/>
            <w:r>
              <w:rPr>
                <w:rFonts w:ascii="Arial" w:hAnsi="Arial"/>
                <w:sz w:val="20"/>
              </w:rPr>
              <w:t>Revisão pelo código-fonte vigente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2.0</w:t>
            </w:r>
          </w:p>
        </w:tc>
        <w:tc>
          <w:tcPr>
            <w:tcW w:type="dxa" w:w="2412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sz w:val="20"/>
              </w:rPr>
              <w:t>Sudoeste Informática</w:t>
            </w:r>
          </w:p>
        </w:tc>
      </w:tr>
    </w:tbl>
    <w:p>
      <w:r>
        <w:br w:type="page"/>
      </w:r>
    </w:p>
    <w:p>
      <w:pPr>
        <w:jc w:val="center"/>
      </w:pPr>
      <w:r>
        <w:rPr>
          <w:rFonts w:ascii="Arial" w:hAnsi="Arial"/>
          <w:b/>
          <w:sz w:val="30"/>
        </w:rPr>
        <w:t>VISÃO GERAL</w:t>
      </w:r>
    </w:p>
    <w:p>
      <w:pPr>
        <w:jc w:val="both"/>
      </w:pPr>
      <w:r>
        <w:rPr>
          <w:rFonts w:ascii="Arial" w:hAnsi="Arial"/>
          <w:sz w:val="24"/>
        </w:rPr>
        <w:t>Catálogo Viabiliza: HU-040. Aplicar um Quadro 11 distinto do Quadro 11A. Esse quadro não existe no motor Regras evidenciadas no código: (1) Nenhuma regra de permissão, vedação ou condição é lida de um Quadro 11 próprio. (2) O veredito pela via (Não, R, Sim e texto de análise da CNLU) está implementado sobre o resultado do Quadro 11A, documentado na HU-041. Fluxo evidenciado: 1. LouosEnquadramentoService::enquadrar chama enquadrarCondicoesVia uma vez, com RuleDomain::LouosQuadro11a 2. RuleDomain tem louos_quadro10 e louos_quadro11a. Não tem louos_quadro11 3. A tabela lida é LouosQuadro11CondicaoVia, ligada à versão do 11A. O importador se chama LouosQuadro11ImportService, mas grava nessa tabela do 11A 4. O comentário do método fala em “Quadros 11 e 11A” e diz que o domínio distinguiria o quadro. Na chamada real só o 11A é passado 5. O cadastro de classes de via (/gestao/louos/vias) valida as classes citadas no rascunho do Quadro 11A Não evidenciado no código: Tabela, versão, tela ou veredito próprios do Quadro 11 Diferença de efeito entre Quadro 11 e Quadro 11A. Só o 11A produz classe_via e condicoes. Divergência em relação à redação anterior: A redação anterior tratava o Quadro 11 como quadro aplicado pelo motor. O código aplica somente o Quadro 11A</w:t>
      </w:r>
    </w:p>
    <w:p/>
    <w:p>
      <w:pPr>
        <w:jc w:val="center"/>
      </w:pPr>
      <w:r>
        <w:rPr>
          <w:rFonts w:ascii="Arial" w:hAnsi="Arial"/>
          <w:b/>
          <w:sz w:val="30"/>
        </w:rPr>
        <w:t>SUMÁRIO</w:t>
      </w:r>
    </w:p>
    <w:p/>
    <w:p>
      <w:r>
        <w:rPr>
          <w:rFonts w:ascii="Arial" w:hAnsi="Arial"/>
          <w:sz w:val="22"/>
        </w:rPr>
        <w:t>ÉPICO: EP05 — Motor de Regras da LOUOS</w:t>
      </w:r>
    </w:p>
    <w:p>
      <w:r>
        <w:rPr>
          <w:rFonts w:ascii="Arial" w:hAnsi="Arial"/>
          <w:sz w:val="22"/>
        </w:rPr>
        <w:t>HISTÓRIA DE USUÁRIO: Aplicar Quadro 11</w:t>
      </w:r>
    </w:p>
    <w:p>
      <w:r>
        <w:rPr>
          <w:rFonts w:ascii="Arial" w:hAnsi="Arial"/>
          <w:sz w:val="22"/>
        </w:rPr>
        <w:t>PRÉ-REQUISITOS</w:t>
      </w:r>
    </w:p>
    <w:p>
      <w:r>
        <w:rPr>
          <w:rFonts w:ascii="Arial" w:hAnsi="Arial"/>
          <w:sz w:val="22"/>
        </w:rPr>
        <w:t>DEPENDÊNCIAS</w:t>
      </w:r>
    </w:p>
    <w:p>
      <w:r>
        <w:rPr>
          <w:rFonts w:ascii="Arial" w:hAnsi="Arial"/>
          <w:sz w:val="22"/>
        </w:rPr>
        <w:t>INTERFACE DE USUÁRIO</w:t>
      </w:r>
    </w:p>
    <w:p>
      <w:r>
        <w:rPr>
          <w:rFonts w:ascii="Arial" w:hAnsi="Arial"/>
          <w:sz w:val="22"/>
        </w:rPr>
        <w:t xml:space="preserve">  TELA 1 - Aplicar Quadro 11</w:t>
      </w:r>
    </w:p>
    <w:p>
      <w:r>
        <w:rPr>
          <w:rFonts w:ascii="Arial" w:hAnsi="Arial"/>
          <w:sz w:val="22"/>
        </w:rPr>
        <w:t xml:space="preserve">  COMPORTAMENTO ESPERADO TELA 1</w:t>
      </w:r>
    </w:p>
    <w:p>
      <w:r>
        <w:rPr>
          <w:rFonts w:ascii="Arial" w:hAnsi="Arial"/>
          <w:sz w:val="22"/>
        </w:rPr>
        <w:t>APROVAÇÃO DO REQUISITO</w:t>
      </w:r>
    </w:p>
    <w:p>
      <w:r>
        <w:br w:type="page"/>
      </w:r>
    </w:p>
    <w:p>
      <w:pPr>
        <w:pStyle w:val="Heading1"/>
      </w:pPr>
      <w:r>
        <w:t>ÉPICO: EP05 — Motor de Regras da LOUOS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a SEDUR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quadro 11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Aplicar um Quadro 11 distinto do Quadro 11A. Esse quadro não existe no motor.</w:t>
      </w:r>
    </w:p>
    <w:p>
      <w:pPr>
        <w:pStyle w:val="Heading1"/>
      </w:pPr>
      <w:r>
        <w:t>HISTÓRIA DE USUÁRIO: Aplicar Quadro 11</w:t>
      </w:r>
    </w:p>
    <w:p>
      <w:pPr>
        <w:jc w:val="both"/>
      </w:pPr>
      <w:r>
        <w:rPr>
          <w:rFonts w:ascii="Arial" w:hAnsi="Arial"/>
          <w:b/>
          <w:sz w:val="24"/>
        </w:rPr>
        <w:t xml:space="preserve">Como </w:t>
      </w:r>
      <w:r>
        <w:rPr>
          <w:rFonts w:ascii="Arial" w:hAnsi="Arial"/>
          <w:b w:val="0"/>
          <w:sz w:val="24"/>
        </w:rPr>
        <w:t>sistema</w:t>
      </w:r>
      <w:r>
        <w:rPr>
          <w:rFonts w:ascii="Arial" w:hAnsi="Arial"/>
          <w:b/>
          <w:sz w:val="24"/>
        </w:rPr>
        <w:t xml:space="preserve"> quero </w:t>
      </w:r>
      <w:r>
        <w:rPr>
          <w:rFonts w:ascii="Arial" w:hAnsi="Arial"/>
          <w:b w:val="0"/>
          <w:sz w:val="24"/>
        </w:rPr>
        <w:t>aplicar as condições do Quadro 11</w:t>
      </w:r>
      <w:r>
        <w:rPr>
          <w:rFonts w:ascii="Arial" w:hAnsi="Arial"/>
          <w:b/>
          <w:sz w:val="24"/>
        </w:rPr>
        <w:t xml:space="preserve">, de modo que </w:t>
      </w:r>
      <w:r>
        <w:rPr>
          <w:rFonts w:ascii="Arial" w:hAnsi="Arial"/>
          <w:b w:val="0"/>
          <w:sz w:val="24"/>
        </w:rPr>
        <w:t>condicionar a instalação pela via. O código não faz essa distinção. A condição pela via implementada é a do Quadro 11A (HU-041).</w:t>
      </w:r>
    </w:p>
    <w:p>
      <w:pPr>
        <w:pStyle w:val="Heading1"/>
      </w:pPr>
      <w:r>
        <w:t>PRÉ-REQUISITOS</w:t>
      </w:r>
    </w:p>
    <w:p>
      <w:pPr>
        <w:jc w:val="both"/>
      </w:pPr>
      <w:r>
        <w:rPr>
          <w:rFonts w:ascii="Arial" w:hAnsi="Arial"/>
          <w:sz w:val="24"/>
        </w:rPr>
        <w:t>• Não há permissão, rota ou domínio de regra para um Quadro 11 separado</w:t>
      </w:r>
    </w:p>
    <w:p>
      <w:pPr>
        <w:jc w:val="both"/>
      </w:pPr>
      <w:r>
        <w:rPr>
          <w:rFonts w:ascii="Arial" w:hAnsi="Arial"/>
          <w:sz w:val="24"/>
        </w:rPr>
        <w:t>• Não há validação de entrada exclusiva do Quadro 11</w:t>
      </w:r>
    </w:p>
    <w:p>
      <w:pPr>
        <w:pStyle w:val="Heading1"/>
      </w:pPr>
      <w:r>
        <w:t>DEPENDÊNCIAS</w:t>
      </w:r>
    </w:p>
    <w:p>
      <w:r>
        <w:rPr>
          <w:b/>
          <w:sz w:val="24"/>
        </w:rPr>
        <w:t>Passadas</w:t>
      </w:r>
    </w:p>
    <w:p>
      <w:pPr>
        <w:jc w:val="both"/>
      </w:pPr>
      <w:r>
        <w:rPr>
          <w:rFonts w:ascii="Arial" w:hAnsi="Arial"/>
          <w:sz w:val="24"/>
        </w:rPr>
        <w:t>• Nenhuma além do que o código desta história já exige</w:t>
      </w:r>
    </w:p>
    <w:p/>
    <w:p>
      <w:r>
        <w:rPr>
          <w:b/>
          <w:sz w:val="24"/>
        </w:rPr>
        <w:t>Futuras</w:t>
      </w:r>
    </w:p>
    <w:p>
      <w:pPr>
        <w:jc w:val="both"/>
      </w:pPr>
      <w:r>
        <w:rPr>
          <w:rFonts w:ascii="Arial" w:hAnsi="Arial"/>
          <w:sz w:val="24"/>
        </w:rPr>
        <w:t>• Nenhuma</w:t>
      </w:r>
    </w:p>
    <w:p>
      <w:pPr>
        <w:pStyle w:val="Heading1"/>
      </w:pPr>
      <w:r>
        <w:t>INTERFACE DE USUÁRIO</w:t>
      </w:r>
    </w:p>
    <w:p>
      <w:pPr>
        <w:pStyle w:val="Heading2"/>
      </w:pPr>
      <w:r>
        <w:t>TELA 1 - Aplicar Quadro 11</w:t>
      </w:r>
    </w:p>
    <w:p>
      <w:r>
        <w:rPr>
          <w:b/>
          <w:sz w:val="22"/>
        </w:rPr>
        <w:t xml:space="preserve">Caminho no menu: </w:t>
      </w:r>
      <w:r>
        <w:rPr>
          <w:sz w:val="22"/>
        </w:rPr>
        <w:t>Conforme a permissão e a rota descritas nos pré-requisitos</w:t>
      </w:r>
    </w:p>
    <w:p/>
    <w:p>
      <w:pPr>
        <w:jc w:val="center"/>
      </w:pPr>
      <w:r>
        <w:rPr>
          <w:i/>
          <w:color w:val="999999"/>
          <w:sz w:val="24"/>
        </w:rPr>
        <w:t>[INSERIR PRINT DA TELA: Aplicar Quadro 11]</w:t>
      </w:r>
    </w:p>
    <w:p/>
    <w:p>
      <w:pPr>
        <w:pStyle w:val="Heading3"/>
      </w:pPr>
      <w:r>
        <w:t>COMPORTAMENTO ESPERADO TELA 1</w:t>
      </w:r>
    </w:p>
    <w:p>
      <w:r>
        <w:rPr>
          <w:rFonts w:ascii="Arial" w:hAnsi="Arial"/>
          <w:b/>
          <w:sz w:val="22"/>
        </w:rPr>
        <w:t>Cenário 1: Comportamento 1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o motor enquadra uma atividade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as dimensões devolvidas são lidas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existem enquadramento, Quadro 10 e Quadro 11A. Não existe dimensão Quadro 11</w:t>
      </w:r>
    </w:p>
    <w:p/>
    <w:p>
      <w:r>
        <w:rPr>
          <w:rFonts w:ascii="Arial" w:hAnsi="Arial"/>
          <w:b/>
          <w:sz w:val="22"/>
        </w:rPr>
        <w:t>Cenário 2: Comportamento 2</w:t>
      </w:r>
    </w:p>
    <w:p>
      <w:r>
        <w:rPr>
          <w:rFonts w:ascii="Arial" w:hAnsi="Arial"/>
          <w:b/>
          <w:sz w:val="22"/>
        </w:rPr>
        <w:t xml:space="preserve">Dado que </w:t>
      </w:r>
      <w:r>
        <w:rPr>
          <w:rFonts w:ascii="Arial" w:hAnsi="Arial"/>
          <w:sz w:val="22"/>
        </w:rPr>
        <w:t>que se procura o domínio de versão louos_quadro11</w:t>
      </w:r>
    </w:p>
    <w:p>
      <w:r>
        <w:rPr>
          <w:rFonts w:ascii="Arial" w:hAnsi="Arial"/>
          <w:b/>
          <w:sz w:val="22"/>
        </w:rPr>
        <w:t xml:space="preserve">Quando </w:t>
      </w:r>
      <w:r>
        <w:rPr>
          <w:rFonts w:ascii="Arial" w:hAnsi="Arial"/>
          <w:sz w:val="22"/>
        </w:rPr>
        <w:t>o enum RuleDomain é lido</w:t>
      </w:r>
    </w:p>
    <w:p>
      <w:r>
        <w:rPr>
          <w:rFonts w:ascii="Arial" w:hAnsi="Arial"/>
          <w:b/>
          <w:sz w:val="22"/>
        </w:rPr>
        <w:t xml:space="preserve">Então </w:t>
      </w:r>
      <w:r>
        <w:rPr>
          <w:rFonts w:ascii="Arial" w:hAnsi="Arial"/>
          <w:sz w:val="22"/>
        </w:rPr>
        <w:t>o valor não existe</w:t>
      </w:r>
    </w:p>
    <w:p/>
    <w:p>
      <w:r>
        <w:br w:type="page"/>
      </w:r>
    </w:p>
    <w:p>
      <w:pPr>
        <w:pStyle w:val="Heading1"/>
      </w:pPr>
      <w:r>
        <w:t>APROVAÇÃO DO REQUISITO</w:t>
      </w:r>
    </w:p>
    <w:p>
      <w:pPr>
        <w:jc w:val="both"/>
      </w:pPr>
      <w:r>
        <w:rPr>
          <w:rFonts w:ascii="Arial" w:hAnsi="Arial"/>
          <w:sz w:val="24"/>
        </w:rPr>
        <w:t>A Sudoeste Informática esclarece que o desenvolvimento das funcionalidades descritas neste documento foi realizado de acordo com os requisitos e especificações fornecidos pelo cliente. Nossa equipe seguiu rigorosamente as instruções recebidas, garantindo que o sistema esteja alinhado com o que foi solicitado.</w:t>
      </w:r>
    </w:p>
    <w:p>
      <w:pPr>
        <w:jc w:val="both"/>
      </w:pPr>
      <w:r>
        <w:rPr>
          <w:rFonts w:ascii="Arial" w:hAnsi="Arial"/>
          <w:sz w:val="24"/>
        </w:rPr>
        <w:t>Para evitar possíveis retrabalhos ou ajustes futuros, sugerimos que o cliente revise atentamente os requisitos apresentados, verificando se eles atendem plenamente às suas necessidades e expectativas, bem como se estão em conformidade com eventuais normas aplicáveis ao seu negócio.</w:t>
      </w:r>
    </w:p>
    <w:p>
      <w:pPr>
        <w:jc w:val="both"/>
      </w:pPr>
      <w:r>
        <w:rPr>
          <w:rFonts w:ascii="Arial" w:hAnsi="Arial"/>
          <w:sz w:val="24"/>
        </w:rPr>
        <w:t>Reafirmamos nosso compromisso de entregar um software de qualidade que agregue valor às operações do cliente, e a validação cuidadosa dos requisitos é um passo importante para garantir o sucesso do projeto.</w:t>
      </w:r>
    </w:p>
    <w:p/>
    <w:tbl>
      <w:tblPr>
        <w:tblW w:type="auto" w:w="0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9648"/>
            <w:gridSpan w:val="4"/>
            <w:shd w:fill="3c7ab5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APROVAÇÃO DO REQUISITO</w:t>
            </w:r>
          </w:p>
        </w:tc>
      </w:tr>
      <w:tr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DATA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SETOR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NOME</w:t>
            </w:r>
          </w:p>
        </w:tc>
        <w:tc>
          <w:tcPr>
            <w:tcW w:type="dxa" w:w="2412"/>
            <w:shd w:fill="235789"/>
          </w:tcPr>
          <w:p>
            <w:pPr>
              <w:jc w:val="center"/>
            </w:pPr>
            <w:r/>
            <w:r>
              <w:rPr>
                <w:rFonts w:ascii="Arial" w:hAnsi="Arial"/>
                <w:b/>
                <w:color w:val="FFFFFF"/>
                <w:sz w:val="22"/>
              </w:rPr>
              <w:t>ASSINATURA</w:t>
            </w:r>
          </w:p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  <w:tr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  <w:tc>
          <w:tcPr>
            <w:tcW w:type="dxa" w:w="2412"/>
          </w:tcPr>
          <w:p/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728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2194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footer_ba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219456"/>
                  </a:xfrm>
                  <a:prstGeom prst="rect"/>
                </pic:spPr>
              </pic:pic>
            </a:graphicData>
          </a:graphic>
        </wp:inline>
      </w:drawing>
    </w:r>
  </w:p>
  <w:p>
    <w:pPr>
      <w:jc w:val="right"/>
      <w:spacing w:after="0" w:before="0" w:line="240" w:lineRule="auto"/>
    </w:pPr>
    <w:r>
      <w:rPr>
        <w:sz w:val="16"/>
      </w:rPr>
      <w:t xml:space="preserve">Página </w:t>
    </w:r>
    <w:r>
      <w:fldChar w:fldCharType="begin"/>
      <w:instrText xml:space="preserve"> PAGE </w:instrText>
      <w:fldChar w:fldCharType="separate"/>
      <w:fldChar w:fldCharType="end"/>
    </w:r>
    <w:r>
      <w:rPr>
        <w:sz w:val="16"/>
      </w:rPr>
      <w:t xml:space="preserve"> de </w:t>
    </w:r>
    <w:r>
      <w:fldChar w:fldCharType="begin"/>
      <w:instrText xml:space="preserve"> NUMPAGES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spacing w:after="0" w:before="0" w:line="240" w:lineRule="auto"/>
    </w:pPr>
    <w:r>
      <w:drawing>
        <wp:inline xmlns:a="http://schemas.openxmlformats.org/drawingml/2006/main" xmlns:pic="http://schemas.openxmlformats.org/drawingml/2006/picture">
          <wp:extent cx="6126480" cy="9144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udoest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26480" cy="914400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0" w:before="0" w:line="240" w:lineRule="auto"/>
    </w:pPr>
    <w:r>
      <w:rPr>
        <w:rFonts w:ascii="Arial" w:hAnsi="Arial"/>
        <w:sz w:val="16"/>
      </w:rPr>
      <w:t>HU.040 - APLICAR QUADRO 11 - Versão 2.0 – 16/10/2026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