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HU.047 – CLASSIFICAR CNAE POR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HU-047. Classificar o CNAE em duas dimensões separadas — municipal e sanitária — e indicar o encaminhamento (expresso ou análise) pela dimensão decisiva, pela planilha de tratamento ou por gatilho Regras evidenciadas no código: (1) Nível municipal desconhecido no CSV é rejeitado por RiscoMunicipal::fromDecreto. Os rótulos aceitos são BAIXO A, BAIXO B e ALTO. (2) Médio risco municipal é o nome da SEDUR para baixo_b. A chave gravada continua baixo_b. (3) A dimensão sanitária tem a própria chave medio, também rotulada Médio risco. Ela não substitui o Médio risco municipal. (4) CNAE sem classificação não recebe nível inventado e o encaminhamento vai à análise. (5) A importação municipal guarda condicionantes como texto. O classificador não usa essas frases para mudar o nível. Fluxo evidenciado: 1. O CNAE é reduzido a dígitos 2. Dimensão municipal: versão vigente de risco_municipal, ou a vigente na data. Busca risk_classifications por versão e CNAE. Acha: status classificado, nível baixo_a, baixo_b ou alto, rótulo, condicionantes da linha e versão. Não acha, ou não há versão: nao_classificado, nível nulo 3. Dimensão sanitária: versão de risco_sanitario e sanitary_risk_classifications. Níveis baixo, medio e alto. O nível final é o da tabela. reclassificado sai sempre falso e a lista de perguntas sai vazia 4. Se o ramo da planilha (TratamentoRamoResolver) resolve com CNAE de 7 dígitos, o nível municipal exibido passa a ser o risco do ramo. A versão da dimensão municipal não é trocada pela versão da planilha 5. Encaminhamento: com ramo resolvido, o fluxo do ramo (expresso ou análise). Sem ramo, usa a dimensão do parâmetro risco.dimensao_tvl (padrão municipal). Nível ausente ou fora do mapa cai em analise 6. Gatilho ativo presente no contexto força analise, com o motivo do gatilho 7. A fundamentação cita o texto base_legal.risco_municipal e as condicionantes textuais da linha municipal quando a dimensão está classificada. Nada da VISA entra nessa lista 8. Auditoria risco / classificacao grava CNAE, dimensão decisiva, níveis, fluxo, gatilhos e versões Não evidenciado no código: Chave municipal medio além de baixo_b. O termo Médio risco permanece e aponta para baixo_b Reclassificação do nível sanitário por resposta de condicionante Perguntas da VISA na ficha do CNAE. O controller registra que essa validação foi retirada. Divergência em relação à redação anterior: A redação anterior não separava risco municipal e sanitário. No municipal, Médio risco é o nome de baixo_b. No sanitário, Médio risco é a chave medio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Classificar CNAE por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Classificar CNAE por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classificar cnae por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Classificar o CNAE em duas dimensões separadas — municipal e sanitária — e indicar o encaminhamento (expresso ou análise) pela dimensão decisiva, pela planilha de tratamento ou por gatilho.</w:t>
      </w:r>
    </w:p>
    <w:p>
      <w:pPr>
        <w:pStyle w:val="Heading1"/>
      </w:pPr>
      <w:r>
        <w:t>HISTÓRIA DE USUÁRIO: Classificar CNAE por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classificar o CNAE com a versão vigente de cada dimensão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saber se o caso é elegível ao fluxo expresso ou se vai à análise, com a versão registrada.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classificação é serviço interno (RiscoClassificationService::classify), usado pela consulta de viabilidade e pelo comando de classificação</w:t>
      </w:r>
    </w:p>
    <w:p>
      <w:pPr>
        <w:jc w:val="both"/>
      </w:pPr>
      <w:r>
        <w:rPr>
          <w:rFonts w:ascii="Arial" w:hAnsi="Arial"/>
          <w:sz w:val="24"/>
        </w:rPr>
        <w:t>• A ficha do CNAE, que grava o nível municipal, exige manter-cnaes para editar e consultar-cnaes para a listagem</w:t>
      </w:r>
    </w:p>
    <w:p>
      <w:pPr>
        <w:jc w:val="both"/>
      </w:pPr>
      <w:r>
        <w:rPr>
          <w:rFonts w:ascii="Arial" w:hAnsi="Arial"/>
          <w:sz w:val="24"/>
        </w:rPr>
        <w:t>• O mapa de encaminhamento e a dimensão decisiva são parâmetros (risco.mapa_encaminhamento e risco.dimensao_tvl)</w:t>
      </w:r>
    </w:p>
    <w:p>
      <w:pPr>
        <w:jc w:val="both"/>
      </w:pPr>
      <w:r>
        <w:rPr>
          <w:rFonts w:ascii="Arial" w:hAnsi="Arial"/>
          <w:sz w:val="24"/>
        </w:rPr>
        <w:t>• Máscara do CNAE é ignorada na busca: valem os dígitos</w:t>
      </w:r>
    </w:p>
    <w:p>
      <w:pPr>
        <w:jc w:val="both"/>
      </w:pPr>
      <w:r>
        <w:rPr>
          <w:rFonts w:ascii="Arial" w:hAnsi="Arial"/>
          <w:sz w:val="24"/>
        </w:rPr>
        <w:t>• Ramo da planilha só é resolvido com 7 dígitos</w:t>
      </w:r>
    </w:p>
    <w:p>
      <w:pPr>
        <w:jc w:val="both"/>
      </w:pPr>
      <w:r>
        <w:rPr>
          <w:rFonts w:ascii="Arial" w:hAnsi="Arial"/>
          <w:sz w:val="24"/>
        </w:rPr>
        <w:t>• Mapa de encaminhamento precisa das chaves baixo_a, baixo_b e alto, com valor expresso ou analise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Classificar CNAE por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Classificar CNAE por risco]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CNAE tem classificação na versão municipal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classifica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devolve nível baixo_a, baixo_b ou alto, a versão, e um fluxo expresso ou análise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não há versão ou linha para o CNAE na dimensão decisiva, e a planilha não resolve ramo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classifica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status é nao_classificado, o nível é nulo e o fluxo é analise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dimensão sanitária está classificada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é lido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nivel_final é igual a nivel_original e reclassificado é falso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HU.047 - CLASSIFICAR CNAE POR RISCO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