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HU.050 – APLICAR REGRA DE ALTO RISCO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HU-050. Encaminhar o nível alto à análise, no mapa padrão, e impedir decisão automática do expresso quando o processo tem alto risco fora de um ramo de planilha marcado como expresso Regras evidenciadas no código: (1) Alto risco não é, por si, indeferimento. Indeferimento locacional do Quadro 10 ou do 11A ocorre antes e independe do risco. (2) Sem veto locacional, alto risco fora do expresso explícito da planilha vai à análise. (3) Alterar o mapa para alto → expresso mudaria o encaminhamento do classificador. O gate do expresso ainda olha alto risco fora do ramo expresso. Fluxo evidenciado: 1. RiscoMunicipal::Alto vale alto, rótulo “Alto”, severidade 3. fromDecreto aceita ALTO 2. O mapa padrão associa alto a analise. O motivo cita o nível e a dimensão decisiva 3. Sanitário alto segue o mesmo mapa somente se a dimensão decisiva for sanitario 4. Ramo da planilha com fluxo expresso grava encaminhamento expresso mesmo quando o texto do ramo fala em alto risco. O comentário do expresso cita a regra 51 da planilha como exemplo de ramo curado assim. A planilha prevalece sobre o gate 5. No expresso, depois do veto locacional (nao_permitido é emitido mesmo em alto risco), temAltoRiscoForaDoExpresso encaminha à análise com o texto expresso.motivo.alto_risco. O processo não é deferido nem indeferido por ser alto 6. Gatilho ativo também força análise, com o motivo do gatilho, antes de chegar a esse gate 7. A fundamentação municipal inclui as frases de condicionante importadas da linha. Elas não alteram o nível para alto. O código do expresso menciona pergunta condicional que eleve o risco; no classificador, quem eleva o nível municipal é o ramo resolvido da planilha (municipalDoRamo), não a resposta de RiskCondicionante Não evidenciado no código: Indeferimento automático só porque o risco é alto Reclassificação para alto por pergunta da VISA. O nível sanitário final permanece o da tabela. Divergência em relação à redação anterior: A redação anterior não separava o mapa alto → analise, o veto locacional que indefere antes, e a exceção do ramo da planilha marcado como expresso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EP06 — Classificação de Risco</w:t>
      </w:r>
    </w:p>
    <w:p>
      <w:r>
        <w:rPr>
          <w:rFonts w:ascii="Arial" w:hAnsi="Arial"/>
          <w:sz w:val="22"/>
        </w:rPr>
        <w:t>HISTÓRIA DE USUÁRIO: Aplicar regra de alto risco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Aplicar regra de alto risco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EP06 — Classificação de Risco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aplicar regra de alto risco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Encaminhar o nível alto à análise, no mapa padrão, e impedir decisão automática do expresso quando o processo tem alto risco fora de um ramo de planilha marcado como expresso.</w:t>
      </w:r>
    </w:p>
    <w:p>
      <w:pPr>
        <w:pStyle w:val="Heading1"/>
      </w:pPr>
      <w:r>
        <w:t>HISTÓRIA DE USUÁRIO: Aplicar regra de alto risco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sistema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reconhecer o CNAE de alto risco e não deferi-lo no automático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análise técnica receber o caso, salvo o ramo da planilha que declara fluxo expresso.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Nível gravado na versão municipal (manter-cnaes ou importação) e destino no parâmetro risco.mapa_encaminhamento</w:t>
      </w:r>
    </w:p>
    <w:p>
      <w:pPr>
        <w:jc w:val="both"/>
      </w:pPr>
      <w:r>
        <w:rPr>
          <w:rFonts w:ascii="Arial" w:hAnsi="Arial"/>
          <w:sz w:val="24"/>
        </w:rPr>
        <w:t>• O bloqueio do expresso é do FluxoExpressoService, sobre o resultado já classificado</w:t>
      </w:r>
    </w:p>
    <w:p>
      <w:pPr>
        <w:jc w:val="both"/>
      </w:pPr>
      <w:r>
        <w:rPr>
          <w:rFonts w:ascii="Arial" w:hAnsi="Arial"/>
          <w:sz w:val="24"/>
        </w:rPr>
        <w:t>• Célula diferente de ALTO não vira alto na importação municipal</w:t>
      </w:r>
    </w:p>
    <w:p>
      <w:pPr>
        <w:jc w:val="both"/>
      </w:pPr>
      <w:r>
        <w:rPr>
          <w:rFonts w:ascii="Arial" w:hAnsi="Arial"/>
          <w:sz w:val="24"/>
        </w:rPr>
        <w:t>• A chave alto é obrigatória no mapa, com valor expresso ou analise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Aplicar regra de alto risco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Aplicar regra de alto risco]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1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o nível decisivo é alto, o mapa padrão está vigente e não há ramo expresso da planilha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motor classifica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fluxo é analise</w:t>
      </w:r>
    </w:p>
    <w:p/>
    <w:p>
      <w:r>
        <w:rPr>
          <w:rFonts w:ascii="Arial" w:hAnsi="Arial"/>
          <w:b/>
          <w:sz w:val="22"/>
        </w:rPr>
        <w:t>Cenário 2: Comportamento 2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o consolidado da LOUOS é nao_permitido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expresso decide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indeferimento locacional é emitido antes do gate de alto risco</w:t>
      </w:r>
    </w:p>
    <w:p/>
    <w:p>
      <w:r>
        <w:rPr>
          <w:rFonts w:ascii="Arial" w:hAnsi="Arial"/>
          <w:b/>
          <w:sz w:val="22"/>
        </w:rPr>
        <w:t>Cenário 3: Comportamento 3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não há veto locacional e o processo tem alto risco fora do ramo expresso da planilha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expresso decide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processo vai à análise e não é deferido nem indeferido por esse motivo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HU.050 - APLICAR REGRA DE ALTO RISCO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