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HU.058 – SIMULAR CLASSIFICAÇÃO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HU-058. Exibir, na consulta prévia, a classificação de risco municipal e sanitário e o encaminhamento calculados pelo motor de risco Regras evidenciadas no código: (1) A classificação é a do motor de risco já usado pelo sistema. A consulta não tem tabela de risco própria. (2) O encaminhamento é registrado na auditoria da consulta (encaminhamento_risco). (3) Consulta por CNAE também classifica o risco, mesmo sem território. Fluxo evidenciado: 1. Cada consulta chama RiscoClassificationService::classify com CNAE, área e respostas da planilha. Na rota pública, tipo de imóvel e categoria de empresa não são enviados 2. O resultado traz risco municipal, risco sanitário, fundamentação e encaminhamento (fluxo, dimensão decisiva, motivo, gatilhos) 3. A tela "Classificação de risco" mostra os níveis municipal e sanitário e o encaminhamento 4. A fundamentação do risco entra na lista única de fundamentação legal da consulta 5. A consulta não protocola solicitação nem dispara o fluxo expresso. O encaminhamento fica no snapshot Não evidenciado no código: Tela exclusiva de simulação de risco Deferimento ou indeferimento automático a partir da consulta prévia Envio de tipo de imóvel ou categoria de empresa pelas rotas públicas de consulta. Divergência em relação à redação anterior: A redação anterior dizia classificar o risco preliminar para indicar a possibilidade de fluxo expresso. O código mostra o encaminhamento do motor na consulta e não abre nem decide o fluxo expresso neste passo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Simular classificação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classificação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classificação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Exibir, na consulta prévia, a classificação de risco municipal e sanitário e o encaminhamento calculados pelo motor de risco.</w:t>
      </w:r>
    </w:p>
    <w:p>
      <w:pPr>
        <w:pStyle w:val="Heading1"/>
      </w:pPr>
      <w:r>
        <w:t>HISTÓRIA DE USUÁRIO: Simular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consulta a viabilidade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risco da atividade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conhecer o nível e o encaminhamento que o motor atribuiu, sem abrir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rota separada. O bloco risco vem no JSON das três consultas públicas</w:t>
      </w:r>
    </w:p>
    <w:p>
      <w:pPr>
        <w:jc w:val="both"/>
      </w:pPr>
      <w:r>
        <w:rPr>
          <w:rFonts w:ascii="Arial" w:hAnsi="Arial"/>
          <w:sz w:val="24"/>
        </w:rPr>
        <w:t>• Acesso público, com o throttle da consulta</w:t>
      </w:r>
    </w:p>
    <w:p>
      <w:pPr>
        <w:jc w:val="both"/>
      </w:pPr>
      <w:r>
        <w:rPr>
          <w:rFonts w:ascii="Arial" w:hAnsi="Arial"/>
          <w:sz w:val="24"/>
        </w:rPr>
        <w:t>• As da entrada da consulta. CNAE obrigatório. Área opcional, numérica, de 0 a 9999999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classificação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Simular classificação de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Risco no resultado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consulta prévia concluída com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seção de classificação mostra risco municipal, risco sanitário e encaminhamento devolvidos pelo motor</w:t>
      </w:r>
    </w:p>
    <w:p/>
    <w:p>
      <w:r>
        <w:rPr>
          <w:rFonts w:ascii="Arial" w:hAnsi="Arial"/>
          <w:b/>
          <w:sz w:val="22"/>
        </w:rPr>
        <w:t>Cenário 2: CA-02 — Sem abertura de processo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encaminhamento calculado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pedido de viabilidade é criado por causa dessa classificação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HU.058 - SIMULAR CLASSIFICAÇÃO DE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