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HU.062 – INFORMAR IMÓVEL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HU-062. Gravar, no rascunho, o polígono do imóvel, o endereço informado, o ponto de referência, a inscrição imobiliária opcional e os indicadores do local Regras evidenciadas no código: (1) O polígono GeoJSON é a fonte. Precisa ser Polygon com anel exterior de pelo menos quatro pontos, cada um com longitude e latitude numéricas. (2) O ponto de referência é obrigatório. Logradouro, número, complemento, bairro, CEP e inscrição são opcionais. O complemento é texto livre. (3) Indicadores aceitos: escritório virtual, sede, abrigado, área pública e acesso independente. Chave ausente de sede ou abrigado preserva o valor já gravado; não apaga a resposta anterior. (4) A identificação territorial neste passo não recalcula o veredito de viabilidade. (5) Mudança de imóvel ou área invalida o snapshot de simulação. Fluxo evidenciado: 1. O requerente envia o polígono GeoJSON, a área utilizada, o ponto de referência e, se quiser, logradouro, número, complemento, bairro, CEP e inscrição 2. O sistema calcula o centroide do anel exterior e consulta TerritoryService::identify. O resultado vai em flash territorio. Sem zona identificada, a resposta degrada sem inventar zona 3. Na mesma transação grava endereço, indicadores e polígono; PropertyGeometryWriter deriva a geometria quando o driver é PostgreSQL; TerritorioProcessoService::materializar grava zona, bairro e demais dados já obtidos, sem segunda consulta WFS 4. A simulação anterior, se existir, é invalidada (markSimulationStale) 5. A resposta volta ao wizard com a mensagem de imóvel e área atualizados Não evidenciado no código: Preenchimento do imóvel a partir de mensagem Regin neste controller Obrigatoriedade de logradouro, número, bairro ou CEP no portal Bloqueio do salvamento quando a zona urbanística não é identificada. Divergência em relação à redação anterior: A redação anterior situava esta etapa no formulário hospedado pelo Regin/Simplifica. No portal, o imóvel é um PUT do rascunho, com polígono obrigatório e endereço textual em grande parte opcional. Não há, neste controller, recepção de dados da Junta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Informar imóvel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Informar imóvel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imóvel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Gravar, no rascunho, o polígono do imóvel, o endereço informado, o ponto de referência, a inscrição imobiliária opcional e os indicadores do local.</w:t>
      </w:r>
    </w:p>
    <w:p>
      <w:pPr>
        <w:pStyle w:val="Heading1"/>
      </w:pPr>
      <w:r>
        <w:t>HISTÓRIA DE USUÁRIO: Informar imóvel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do rascunho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demarcar o imóvel e informar o ponto de referência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o processo tenha a localização usada na análise territorial.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Dono efetivo da solicitação, somente com status rascunho (ViabilityRequestPolicy::update)</w:t>
      </w:r>
    </w:p>
    <w:p>
      <w:pPr>
        <w:jc w:val="both"/>
      </w:pPr>
      <w:r>
        <w:rPr>
          <w:rFonts w:ascii="Arial" w:hAnsi="Arial"/>
          <w:sz w:val="24"/>
        </w:rPr>
        <w:t>• Rota PUT portal/solicitacoes/{solicitacao}/imovel, com auth:web, e-mail verificado, LGPD aceita, representação resolvida e middleware portal.solicitacao</w:t>
      </w:r>
    </w:p>
    <w:p>
      <w:pPr>
        <w:jc w:val="both"/>
      </w:pPr>
      <w:r>
        <w:rPr>
          <w:rFonts w:ascii="Arial" w:hAnsi="Arial"/>
          <w:sz w:val="24"/>
        </w:rPr>
        <w:t>• Polígono obrigatório, tipo Polygon, coordenadas presentes e numéricas, anel com no mínimo quatro posições</w:t>
      </w:r>
    </w:p>
    <w:p>
      <w:pPr>
        <w:jc w:val="both"/>
      </w:pPr>
      <w:r>
        <w:rPr>
          <w:rFonts w:ascii="Arial" w:hAnsi="Arial"/>
          <w:sz w:val="24"/>
        </w:rPr>
        <w:t>• address_reference obrigatório, até 255 caracteres</w:t>
      </w:r>
    </w:p>
    <w:p>
      <w:pPr>
        <w:jc w:val="both"/>
      </w:pPr>
      <w:r>
        <w:rPr>
          <w:rFonts w:ascii="Arial" w:hAnsi="Arial"/>
          <w:sz w:val="24"/>
        </w:rPr>
        <w:t>• Campos de endereço e inscrição opcionais, com tamanho máximo</w:t>
      </w:r>
    </w:p>
    <w:p>
      <w:pPr>
        <w:jc w:val="both"/>
      </w:pPr>
      <w:r>
        <w:rPr>
          <w:rFonts w:ascii="Arial" w:hAnsi="Arial"/>
          <w:sz w:val="24"/>
        </w:rPr>
        <w:t>• Indicadores booleanos somente quando enviados</w:t>
      </w:r>
    </w:p>
    <w:p>
      <w:pPr>
        <w:jc w:val="both"/>
      </w:pPr>
      <w:r>
        <w:rPr>
          <w:rFonts w:ascii="Arial" w:hAnsi="Arial"/>
          <w:sz w:val="24"/>
        </w:rPr>
        <w:t>• A área (used_area_m2) viaja neste mesmo pedido; a regra da área está na HU-063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Informar imóvel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Informar imóvel]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demarcar o imóvel e informar o ponto de referência,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Gravar, no rascunho, o polígono do imóvel, o endereço informado, o ponto de referência, a inscrição imobiliária opcional e os indicadores do local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HU.062 - INFORMAR IMÓVEL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