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
    <w:p>
      <w:pPr>
        <w:jc w:val="center"/>
      </w:pPr>
      <w:r>
        <w:rPr>
          <w:rFonts w:ascii="Arial" w:hAnsi="Arial"/>
          <w:b/>
          <w:sz w:val="28"/>
        </w:rPr>
        <w:t>HU.064 – INFORMAR ATIVIDADE ECONÔMICA</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pelo código-fonte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Catálogo Viabiliza: HU-064. Gravar exatamente uma atividade principal ativa da tabela de CNAE no rascunho, com a intenção incluir ou excluir quando o tipo de serviço é alteração de atividade Regras evidenciadas no código: (1) Há exatamente uma atividade principal por sincronização do conjunto enviado. (2) A principal precisa existir e estar ativa em cnaes. (3) A principal não pode constar também em complementares. (4) Só se marca exclusão de um CNAE que esteja entre os submetidos (principal ou complementar). (5) Regras de escritório virtual neste mesmo pedido: abrigado em inscrição com sede ativa só aceita CNAE da lista vigente; recusa de abrigo e CNAE de sede em abrigado geram erro; constituição de sede em inscrição já travada por outro titular é recusada; a sede titular pode alterar as próprias atividades; CNAE da sede fora do gatilho e do Anexo A é recusado quando a lista do Anexo A está disponível. Sem lista vigente, o passo não bloqueia por Anexo A. (6) Confirmação de perda da condição de sede e a pergunta de sede (wants_virtual_office_hq) só mudam se a chave vier no pedido; ausência preserva o valor gravado. Fluxo evidenciado: 1. O pedido informa principal_cnae_id e, opcionalmente, complementares e exclusões 2. Em transação, o pivot viability_request_cnaes é sincronizado de uma vez: o principal com is_primary verdadeiro e os demais com falso. A intenção vai no mesmo payload 3. A intenção só é preenchida quando o tipo de serviço tem código alteracao-atividade. Nesse caso, CNAE listado em exclusoes fica excluir; os demais submetidos ficam incluir. Nos outros tipos, a intenção permanece nula 4. A mudança invalida a simulação e gera auditoria solicitacao-cnaes com o antes e o depois (código, principal e intenção) 5. O protocolo exige que exista CNAE principal. Sem ele, a protocolização para antes de consumir número Não evidenciado no código: Cadastro de CNAE fora da tabela oficial Intenção incluir/excluir em primeiro estabelecimento ou renovação Exclusão de CNAE inativo no cadastro. O código deixa isso como decisão pendente e, na validação atual, o CNAE submetido precisa estar ativo. Divergência em relação à redação anterior: A atividade não é texto livre nem escolha fora da tabela. A intenção por CNAE existe só na alteração de atividade. O mesmo pedido aplica restrições de escritório virtual que a redação genérica não descrevia</w:t>
      </w:r>
    </w:p>
    <w:p/>
    <w:p>
      <w:pPr>
        <w:jc w:val="center"/>
      </w:pPr>
      <w:r>
        <w:rPr>
          <w:rFonts w:ascii="Arial" w:hAnsi="Arial"/>
          <w:b/>
          <w:sz w:val="30"/>
        </w:rPr>
        <w:t>SUMÁRIO</w:t>
      </w:r>
    </w:p>
    <w:p/>
    <w:p>
      <w:r>
        <w:rPr>
          <w:rFonts w:ascii="Arial" w:hAnsi="Arial"/>
          <w:sz w:val="22"/>
        </w:rPr>
        <w:t>ÉPICO: EP08 — Solicitação de Viabilidade</w:t>
      </w:r>
    </w:p>
    <w:p>
      <w:r>
        <w:rPr>
          <w:rFonts w:ascii="Arial" w:hAnsi="Arial"/>
          <w:sz w:val="22"/>
        </w:rPr>
        <w:t>HISTÓRIA DE USUÁRIO: Informar atividade econômica</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Informar atividade econômica</w:t>
      </w:r>
    </w:p>
    <w:p>
      <w:r>
        <w:rPr>
          <w:rFonts w:ascii="Arial" w:hAnsi="Arial"/>
          <w:sz w:val="22"/>
        </w:rPr>
        <w:t xml:space="preserve">  COMPORTAMENTO ESPERADO TELA 1</w:t>
      </w:r>
    </w:p>
    <w:p>
      <w:r>
        <w:rPr>
          <w:rFonts w:ascii="Arial" w:hAnsi="Arial"/>
          <w:sz w:val="22"/>
        </w:rPr>
        <w:t>APROVAÇÃO DO REQUISITO</w:t>
      </w:r>
    </w:p>
    <w:p>
      <w:r>
        <w:br w:type="page"/>
      </w:r>
    </w:p>
    <w:p>
      <w:pPr>
        <w:pStyle w:val="Heading1"/>
      </w:pPr>
      <w:r>
        <w:t>ÉPICO: EP08 — Solicitação de Viabilidade</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informar atividade econômica</w:t>
      </w:r>
      <w:r>
        <w:rPr>
          <w:rFonts w:ascii="Arial" w:hAnsi="Arial"/>
          <w:b/>
          <w:sz w:val="24"/>
        </w:rPr>
        <w:t xml:space="preserve">, de modo que </w:t>
      </w:r>
      <w:r>
        <w:rPr>
          <w:rFonts w:ascii="Arial" w:hAnsi="Arial"/>
          <w:b w:val="0"/>
          <w:sz w:val="24"/>
        </w:rPr>
        <w:t>Gravar exatamente uma atividade principal ativa da tabela de CNAE no rascunho, com a intenção incluir ou excluir quando o tipo de serviço é alteração de atividade.</w:t>
      </w:r>
    </w:p>
    <w:p>
      <w:pPr>
        <w:pStyle w:val="Heading1"/>
      </w:pPr>
      <w:r>
        <w:t>HISTÓRIA DE USUÁRIO: Informar atividade econômica</w:t>
      </w:r>
    </w:p>
    <w:p>
      <w:pPr>
        <w:jc w:val="both"/>
      </w:pPr>
      <w:r>
        <w:rPr>
          <w:rFonts w:ascii="Arial" w:hAnsi="Arial"/>
          <w:b/>
          <w:sz w:val="24"/>
        </w:rPr>
        <w:t xml:space="preserve">Como </w:t>
      </w:r>
      <w:r>
        <w:rPr>
          <w:rFonts w:ascii="Arial" w:hAnsi="Arial"/>
          <w:b w:val="0"/>
          <w:sz w:val="24"/>
        </w:rPr>
        <w:t>requerente dono do rascunho</w:t>
      </w:r>
      <w:r>
        <w:rPr>
          <w:rFonts w:ascii="Arial" w:hAnsi="Arial"/>
          <w:b/>
          <w:sz w:val="24"/>
        </w:rPr>
        <w:t xml:space="preserve"> quero </w:t>
      </w:r>
      <w:r>
        <w:rPr>
          <w:rFonts w:ascii="Arial" w:hAnsi="Arial"/>
          <w:b w:val="0"/>
          <w:sz w:val="24"/>
        </w:rPr>
        <w:t>indicar a atividade principal</w:t>
      </w:r>
      <w:r>
        <w:rPr>
          <w:rFonts w:ascii="Arial" w:hAnsi="Arial"/>
          <w:b/>
          <w:sz w:val="24"/>
        </w:rPr>
        <w:t xml:space="preserve">, de modo que </w:t>
      </w:r>
      <w:r>
        <w:rPr>
          <w:rFonts w:ascii="Arial" w:hAnsi="Arial"/>
          <w:b w:val="0"/>
          <w:sz w:val="24"/>
        </w:rPr>
        <w:t>que a simulação e o protocolo usem um CNAE oficial ativo.</w:t>
      </w:r>
    </w:p>
    <w:p>
      <w:pPr>
        <w:pStyle w:val="Heading1"/>
      </w:pPr>
      <w:r>
        <w:t>PRÉ-REQUISITOS</w:t>
      </w:r>
    </w:p>
    <w:p>
      <w:pPr>
        <w:jc w:val="both"/>
      </w:pPr>
      <w:r>
        <w:rPr>
          <w:rFonts w:ascii="Arial" w:hAnsi="Arial"/>
          <w:sz w:val="24"/>
        </w:rPr>
        <w:t>• Dono efetivo, status rascunho (ViabilityRequestPolicy::update)</w:t>
      </w:r>
    </w:p>
    <w:p>
      <w:pPr>
        <w:jc w:val="both"/>
      </w:pPr>
      <w:r>
        <w:rPr>
          <w:rFonts w:ascii="Arial" w:hAnsi="Arial"/>
          <w:sz w:val="24"/>
        </w:rPr>
        <w:t>• Rota PUT portal/solicitacoes/{solicitacao}/atividades, sob autenticação do portal, LGPD, representação e portal.solicitacao</w:t>
      </w:r>
    </w:p>
    <w:p>
      <w:pPr>
        <w:jc w:val="both"/>
      </w:pPr>
      <w:r>
        <w:rPr>
          <w:rFonts w:ascii="Arial" w:hAnsi="Arial"/>
          <w:sz w:val="24"/>
        </w:rPr>
        <w:t>• principal_cnae_id obrigatório, inteiro, CNAE ativo</w:t>
      </w:r>
    </w:p>
    <w:p>
      <w:pPr>
        <w:jc w:val="both"/>
      </w:pPr>
      <w:r>
        <w:rPr>
          <w:rFonts w:ascii="Arial" w:hAnsi="Arial"/>
          <w:sz w:val="24"/>
        </w:rPr>
        <w:t>• exclusoes opcional; cada item inteiro, distinto e existente em cnaes (a exigência de ativo chega porque o id também precisa estar em principal ou complementares, e esses exigem ativo)</w:t>
      </w:r>
    </w:p>
    <w:p>
      <w:pPr>
        <w:jc w:val="both"/>
      </w:pPr>
      <w:r>
        <w:rPr>
          <w:rFonts w:ascii="Arial" w:hAnsi="Arial"/>
          <w:sz w:val="24"/>
        </w:rPr>
        <w:t>• Mensagens de atividade obrigatória, CNAE inativo ou inexistente, principal repetida nos complementares e exclusão fora do conjunto submetido</w:t>
      </w:r>
    </w:p>
    <w:p>
      <w:pPr>
        <w:pStyle w:val="Heading1"/>
      </w:pPr>
      <w:r>
        <w:t>DEPENDÊNCIAS</w:t>
      </w:r>
    </w:p>
    <w:p>
      <w:r>
        <w:rPr>
          <w:b/>
          <w:sz w:val="24"/>
        </w:rPr>
        <w:t>Passadas</w:t>
      </w:r>
    </w:p>
    <w:p>
      <w:pPr>
        <w:jc w:val="both"/>
      </w:pPr>
      <w:r>
        <w:rPr>
          <w:rFonts w:ascii="Arial" w:hAnsi="Arial"/>
          <w:sz w:val="24"/>
        </w:rPr>
        <w:t>• Nenhuma além do que o código desta história já exige</w:t>
      </w:r>
    </w:p>
    <w:p/>
    <w:p>
      <w:r>
        <w:rPr>
          <w:b/>
          <w:sz w:val="24"/>
        </w:rPr>
        <w:t>Futuras</w:t>
      </w:r>
    </w:p>
    <w:p>
      <w:pPr>
        <w:jc w:val="both"/>
      </w:pPr>
      <w:r>
        <w:rPr>
          <w:rFonts w:ascii="Arial" w:hAnsi="Arial"/>
          <w:sz w:val="24"/>
        </w:rPr>
        <w:t>• Nenhuma</w:t>
      </w:r>
    </w:p>
    <w:p>
      <w:pPr>
        <w:pStyle w:val="Heading1"/>
      </w:pPr>
      <w:r>
        <w:t>INTERFACE DE USUÁRIO</w:t>
      </w:r>
    </w:p>
    <w:p>
      <w:pPr>
        <w:pStyle w:val="Heading2"/>
      </w:pPr>
      <w:r>
        <w:t>TELA 1 - Informar atividade econômica</w:t>
      </w:r>
    </w:p>
    <w:p>
      <w:r>
        <w:rPr>
          <w:b/>
          <w:sz w:val="22"/>
        </w:rPr>
        <w:t xml:space="preserve">Caminho no menu: </w:t>
      </w:r>
      <w:r>
        <w:rPr>
          <w:sz w:val="22"/>
        </w:rPr>
        <w:t>Conforme a permissão e a rota descritas nos pré-requisitos</w:t>
      </w:r>
    </w:p>
    <w:p/>
    <w:p>
      <w:pPr>
        <w:jc w:val="center"/>
      </w:pPr>
      <w:r>
        <w:rPr>
          <w:i/>
          <w:color w:val="999999"/>
          <w:sz w:val="24"/>
        </w:rPr>
        <w:t>[INSERIR PRINT DA TELA: Informar atividade econômica]</w:t>
      </w:r>
    </w:p>
    <w:p/>
    <w:p>
      <w:pPr>
        <w:pStyle w:val="Heading3"/>
      </w:pPr>
      <w:r>
        <w:t>COMPORTAMENTO ESPERADO TELA 1</w:t>
      </w:r>
    </w:p>
    <w:p>
      <w:r>
        <w:rPr>
          <w:rFonts w:ascii="Arial" w:hAnsi="Arial"/>
          <w:b/>
          <w:sz w:val="22"/>
        </w:rPr>
        <w:t>Cenário 1: Comportamento evidenciado no código</w:t>
      </w:r>
    </w:p>
    <w:p>
      <w:r>
        <w:rPr>
          <w:rFonts w:ascii="Arial" w:hAnsi="Arial"/>
          <w:b/>
          <w:sz w:val="22"/>
        </w:rPr>
        <w:t xml:space="preserve">Dado que </w:t>
      </w:r>
      <w:r>
        <w:rPr>
          <w:rFonts w:ascii="Arial" w:hAnsi="Arial"/>
          <w:sz w:val="22"/>
        </w:rPr>
        <w:t>o código desta história está como descrito na visão geral</w:t>
      </w:r>
    </w:p>
    <w:p>
      <w:r>
        <w:rPr>
          <w:rFonts w:ascii="Arial" w:hAnsi="Arial"/>
          <w:b/>
          <w:sz w:val="22"/>
        </w:rPr>
        <w:t xml:space="preserve">Quando </w:t>
      </w:r>
      <w:r>
        <w:rPr>
          <w:rFonts w:ascii="Arial" w:hAnsi="Arial"/>
          <w:sz w:val="22"/>
        </w:rPr>
        <w:t>indicar a atividade principal,</w:t>
      </w:r>
    </w:p>
    <w:p>
      <w:r>
        <w:rPr>
          <w:rFonts w:ascii="Arial" w:hAnsi="Arial"/>
          <w:b/>
          <w:sz w:val="22"/>
        </w:rPr>
        <w:t xml:space="preserve">Então </w:t>
      </w:r>
      <w:r>
        <w:rPr>
          <w:rFonts w:ascii="Arial" w:hAnsi="Arial"/>
          <w:sz w:val="22"/>
        </w:rPr>
        <w:t>Gravar exatamente uma atividade principal ativa da tabela de CNAE no rascunho, com a intenção incluir ou excluir quando o tipo de serviço é alteração de atividade</w:t>
      </w:r>
    </w:p>
    <w:p/>
    <w:p>
      <w:r>
        <w:br w:type="page"/>
      </w:r>
    </w:p>
    <w:p>
      <w:pPr>
        <w:pStyle w:val="Heading1"/>
      </w:pPr>
      <w:r>
        <w:t>APROVAÇÃO DO REQUISITO</w:t>
      </w:r>
    </w:p>
    <w:p>
      <w:pPr>
        <w:jc w:val="both"/>
      </w:pPr>
      <w:r>
        <w:rPr>
          <w:rFonts w:ascii="Arial" w:hAnsi="Arial"/>
          <w:sz w:val="24"/>
        </w:rPr>
        <w:t>A Sudoeste Informática esclarece que o desenvolvimento das funcionalidades descritas neste documento foi realizado de acordo com os requisitos e especificações fornecidos pelo cliente. Nossa equipe seguiu rigorosamente as instruções recebidas, garantindo que o sistema esteja alinhado com o que foi solicitado.</w:t>
      </w:r>
    </w:p>
    <w:p>
      <w:pPr>
        <w:jc w:val="both"/>
      </w:pPr>
      <w:r>
        <w:rPr>
          <w:rFonts w:ascii="Arial" w:hAnsi="Arial"/>
          <w:sz w:val="24"/>
        </w:rPr>
        <w:t>Para evitar possíveis retrabalhos ou ajustes futuros, sugerimos que o cliente revise atentamente os requisitos apresentados, verificando se eles atendem plenamente às suas necessidades e expectativas, bem como se estão em conformidade com eventuais normas aplicáveis ao seu negócio.</w:t>
      </w:r>
    </w:p>
    <w:p>
      <w:pPr>
        <w:jc w:val="both"/>
      </w:pPr>
      <w:r>
        <w:rPr>
          <w:rFonts w:ascii="Arial" w:hAnsi="Arial"/>
          <w:sz w:val="24"/>
        </w:rPr>
        <w:t>Reafirmamos nosso compromisso de entregar um software de qualidade que agregue valor às operações do cliente, e a validação cuidadosa dos requisitos é um passo importante para garantir o sucesso do projeto.</w:t>
      </w:r>
    </w:p>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APROVAÇÃO DO REQUISITO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SETOR</w:t>
            </w:r>
          </w:p>
        </w:tc>
        <w:tc>
          <w:tcPr>
            <w:tcW w:type="dxa" w:w="2412"/>
            <w:shd w:fill="235789"/>
          </w:tcPr>
          <w:p>
            <w:pPr>
              <w:jc w:val="center"/>
            </w:pPr>
            <w:r/>
            <w:r>
              <w:rPr>
                <w:rFonts w:ascii="Arial" w:hAnsi="Arial"/>
                <w:b/>
                <w:color w:val="FFFFFF"/>
                <w:sz w:val="22"/>
              </w:rPr>
              <w:t>NOME</w:t>
            </w:r>
          </w:p>
        </w:tc>
        <w:tc>
          <w:tcPr>
            <w:tcW w:type="dxa" w:w="2412"/>
            <w:shd w:fill="235789"/>
          </w:tcPr>
          <w:p>
            <w:pPr>
              <w:jc w:val="center"/>
            </w:pPr>
            <w:r/>
            <w:r>
              <w:rPr>
                <w:rFonts w:ascii="Arial" w:hAnsi="Arial"/>
                <w:b/>
                <w:color w:val="FFFFFF"/>
                <w:sz w:val="22"/>
              </w:rPr>
              <w:t>ASSINATURA</w:t>
            </w:r>
          </w:p>
        </w:tc>
      </w:tr>
      <w:tr>
        <w:tc>
          <w:tcPr>
            <w:tcW w:type="dxa" w:w="2412"/>
          </w:tcPr>
          <w:p/>
        </w:tc>
        <w:tc>
          <w:tcPr>
            <w:tcW w:type="dxa" w:w="2412"/>
          </w:tcPr>
          <w:p/>
        </w:tc>
        <w:tc>
          <w:tcPr>
            <w:tcW w:type="dxa" w:w="2412"/>
          </w:tcPr>
          <w:p/>
        </w:tc>
        <w:tc>
          <w:tcPr>
            <w:tcW w:type="dxa" w:w="2412"/>
          </w:tcPr>
          <w:p/>
        </w:tc>
      </w:tr>
      <w:tr>
        <w:tc>
          <w:tcPr>
            <w:tcW w:type="dxa" w:w="2412"/>
          </w:tcPr>
          <w:p/>
        </w:tc>
        <w:tc>
          <w:tcPr>
            <w:tcW w:type="dxa" w:w="2412"/>
          </w:tcPr>
          <w:p/>
        </w:tc>
        <w:tc>
          <w:tcPr>
            <w:tcW w:type="dxa" w:w="2412"/>
          </w:tcPr>
          <w:p/>
        </w:tc>
        <w:tc>
          <w:tcPr>
            <w:tcW w:type="dxa" w:w="2412"/>
          </w:tcPr>
          <w:p/>
        </w:tc>
      </w:tr>
      <w:tr>
        <w:tc>
          <w:tcPr>
            <w:tcW w:type="dxa" w:w="2412"/>
          </w:tcPr>
          <w:p/>
        </w:tc>
        <w:tc>
          <w:tcPr>
            <w:tcW w:type="dxa" w:w="2412"/>
          </w:tcPr>
          <w:p/>
        </w:tc>
        <w:tc>
          <w:tcPr>
            <w:tcW w:type="dxa" w:w="2412"/>
          </w:tcPr>
          <w:p/>
        </w:tc>
        <w:tc>
          <w:tcPr>
            <w:tcW w:type="dxa" w:w="2412"/>
          </w:tcPr>
          <w:p/>
        </w:tc>
      </w:tr>
      <w:tr>
        <w:tc>
          <w:tcPr>
            <w:tcW w:type="dxa" w:w="2412"/>
          </w:tcPr>
          <w:p/>
        </w:tc>
        <w:tc>
          <w:tcPr>
            <w:tcW w:type="dxa" w:w="2412"/>
          </w:tcPr>
          <w:p/>
        </w:tc>
        <w:tc>
          <w:tcPr>
            <w:tcW w:type="dxa" w:w="2412"/>
          </w:tcPr>
          <w:p/>
        </w:tc>
        <w:tc>
          <w:tcPr>
            <w:tcW w:type="dxa" w:w="2412"/>
          </w:tcPr>
          <w:p/>
        </w:tc>
      </w:tr>
      <w:tr>
        <w:tc>
          <w:tcPr>
            <w:tcW w:type="dxa" w:w="2412"/>
          </w:tcPr>
          <w:p/>
        </w:tc>
        <w:tc>
          <w:tcPr>
            <w:tcW w:type="dxa" w:w="2412"/>
          </w:tcPr>
          <w:p/>
        </w:tc>
        <w:tc>
          <w:tcPr>
            <w:tcW w:type="dxa" w:w="2412"/>
          </w:tcPr>
          <w:p/>
        </w:tc>
        <w:tc>
          <w:tcPr>
            <w:tcW w:type="dxa" w:w="2412"/>
          </w:tcPr>
          <w:p/>
        </w:tc>
      </w:tr>
      <w:tr>
        <w:tc>
          <w:tcPr>
            <w:tcW w:type="dxa" w:w="2412"/>
          </w:tcPr>
          <w:p/>
        </w:tc>
        <w:tc>
          <w:tcPr>
            <w:tcW w:type="dxa" w:w="2412"/>
          </w:tcPr>
          <w:p/>
        </w:tc>
        <w:tc>
          <w:tcPr>
            <w:tcW w:type="dxa" w:w="2412"/>
          </w:tcPr>
          <w:p/>
        </w:tc>
        <w:tc>
          <w:tcPr>
            <w:tcW w:type="dxa" w:w="2412"/>
          </w:tcPr>
          <w:p/>
        </w:tc>
      </w:tr>
      <w:tr>
        <w:tc>
          <w:tcPr>
            <w:tcW w:type="dxa" w:w="2412"/>
          </w:tcPr>
          <w:p/>
        </w:tc>
        <w:tc>
          <w:tcPr>
            <w:tcW w:type="dxa" w:w="2412"/>
          </w:tcPr>
          <w:p/>
        </w:tc>
        <w:tc>
          <w:tcPr>
            <w:tcW w:type="dxa" w:w="2412"/>
          </w:tcPr>
          <w:p/>
        </w:tc>
        <w:tc>
          <w:tcPr>
            <w:tcW w:type="dxa" w:w="2412"/>
          </w:tcPr>
          <w:p/>
        </w:tc>
      </w:tr>
    </w:tbl>
    <w:sectPr w:rsidR="00FC693F" w:rsidRPr="0006063C" w:rsidSect="00034616">
      <w:headerReference w:type="default" r:id="rId9"/>
      <w:footerReference w:type="default" r:id="rId10"/>
      <w:pgSz w:w="12240" w:h="15840"/>
      <w:pgMar w:top="1728"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pacing w:after="0" w:before="0" w:line="240" w:lineRule="auto"/>
    </w:pPr>
    <w:r>
      <w:drawing>
        <wp:inline xmlns:a="http://schemas.openxmlformats.org/drawingml/2006/main" xmlns:pic="http://schemas.openxmlformats.org/drawingml/2006/picture">
          <wp:extent cx="6126480" cy="219456"/>
          <wp:docPr id="1" name="Picture 1"/>
          <wp:cNvGraphicFramePr>
            <a:graphicFrameLocks noChangeAspect="1"/>
          </wp:cNvGraphicFramePr>
          <a:graphic>
            <a:graphicData uri="http://schemas.openxmlformats.org/drawingml/2006/picture">
              <pic:pic>
                <pic:nvPicPr>
                  <pic:cNvPr id="0" name="footer_bar.png"/>
                  <pic:cNvPicPr/>
                </pic:nvPicPr>
                <pic:blipFill>
                  <a:blip r:embed="rId1"/>
                  <a:stretch>
                    <a:fillRect/>
                  </a:stretch>
                </pic:blipFill>
                <pic:spPr>
                  <a:xfrm>
                    <a:off x="0" y="0"/>
                    <a:ext cx="6126480" cy="219456"/>
                  </a:xfrm>
                  <a:prstGeom prst="rect"/>
                </pic:spPr>
              </pic:pic>
            </a:graphicData>
          </a:graphic>
        </wp:inline>
      </w:drawing>
    </w:r>
  </w:p>
  <w:p>
    <w:pPr>
      <w:jc w:val="right"/>
      <w:spacing w:after="0" w:before="0" w:line="240" w:lineRule="auto"/>
    </w:pPr>
    <w:r>
      <w:rPr>
        <w:sz w:val="16"/>
      </w:rPr>
      <w:t xml:space="preserve">Página </w:t>
    </w:r>
    <w:r>
      <w:fldChar w:fldCharType="begin"/>
      <w:instrText xml:space="preserve"> PAGE </w:instrText>
      <w:fldChar w:fldCharType="separate"/>
      <w:fldChar w:fldCharType="end"/>
    </w:r>
    <w:r>
      <w:rPr>
        <w:sz w:val="16"/>
      </w:rPr>
      <w:t xml:space="preserve"> de </w:t>
    </w:r>
    <w:r>
      <w:fldChar w:fldCharType="begin"/>
      <w:instrText xml:space="preserve"> NUMPAGES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pacing w:after="0" w:before="0" w:line="240" w:lineRule="auto"/>
    </w:pPr>
    <w:r>
      <w:drawing>
        <wp:inline xmlns:a="http://schemas.openxmlformats.org/drawingml/2006/main" xmlns:pic="http://schemas.openxmlformats.org/drawingml/2006/picture">
          <wp:extent cx="6126480" cy="914400"/>
          <wp:docPr id="1" name="Picture 1"/>
          <wp:cNvGraphicFramePr>
            <a:graphicFrameLocks noChangeAspect="1"/>
          </wp:cNvGraphicFramePr>
          <a:graphic>
            <a:graphicData uri="http://schemas.openxmlformats.org/drawingml/2006/picture">
              <pic:pic>
                <pic:nvPicPr>
                  <pic:cNvPr id="0" name="logo_sudoeste.png"/>
                  <pic:cNvPicPr/>
                </pic:nvPicPr>
                <pic:blipFill>
                  <a:blip r:embed="rId1"/>
                  <a:stretch>
                    <a:fillRect/>
                  </a:stretch>
                </pic:blipFill>
                <pic:spPr>
                  <a:xfrm>
                    <a:off x="0" y="0"/>
                    <a:ext cx="6126480" cy="914400"/>
                  </a:xfrm>
                  <a:prstGeom prst="rect"/>
                </pic:spPr>
              </pic:pic>
            </a:graphicData>
          </a:graphic>
        </wp:inline>
      </w:drawing>
    </w:r>
  </w:p>
  <w:p>
    <w:pPr>
      <w:spacing w:after="0" w:before="0" w:line="240" w:lineRule="auto"/>
    </w:pPr>
    <w:r>
      <w:rPr>
        <w:rFonts w:ascii="Arial" w:hAnsi="Arial"/>
        <w:sz w:val="16"/>
      </w:rPr>
      <w:t>HU.064 - INFORMAR ATIVIDADE ECONÔMICA - Versão 2.0 – 16/10/2026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