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HU.065 – INFORMAR CNAES COMPLEMENTARES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HU-065. Permitir zero ou mais CNAEs complementares ativos no rascunho, até o limite parametrizado, sem repetir a atividade principal Regras evidenciadas no código: (1) Complementares são opcionais. (2) Cada um precisa ser CNAE ativo, inteiro e sem duplicata na lista. (3) A quantidade não pode passar do parâmetro. (4) A atividade principal não pode aparecer na lista de complementares. (5) As restrições de escritório virtual da HU-064 valem para o conjunto principal mais complementares. Fluxo evidenciado: 1. O campo complementares é uma lista opcional de ids 2. O limite lido na validação e exibido no wizard é solicitacao.cnaes_complementares.max (padrão 99) 3. Cada complementar entra no mesmo sync do principal, com is_primary falso e a mesma regra de intenção da HU-064 4. A lista substitui o conjunto anterior. Complementar omitido deixa de estar no pedido 5. A simulação é invalidada e a auditoria registra os códigos complementares resultantes Não evidenciado no código: Obrigatoriedade de ao menos um CNAE complementar Limite legal fixo diferente do parâmetro Gravação de complementar sem atividade principal no mesmo pedido. Divergência em relação à redação anterior: Não há quantidade fixa escrita no código além do parâmetro, cujo padrão é 99. Complementar não é obrigatório. Não existe tela separada da atividade principal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EP08 — Solicitação de Viabilidade</w:t>
      </w:r>
    </w:p>
    <w:p>
      <w:r>
        <w:rPr>
          <w:rFonts w:ascii="Arial" w:hAnsi="Arial"/>
          <w:sz w:val="22"/>
        </w:rPr>
        <w:t>HISTÓRIA DE USUÁRIO: Informar CNAEs complementares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Informar CNAEs complementares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EP08 —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informar cnaes complementares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Permitir zero ou mais CNAEs complementares ativos no rascunho, até o limite parametrizado, sem repetir a atividade principal.</w:t>
      </w:r>
    </w:p>
    <w:p>
      <w:pPr>
        <w:pStyle w:val="Heading1"/>
      </w:pPr>
      <w:r>
        <w:t>HISTÓRIA DE USUÁRIO: Informar CNAEs complementares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 dono do rascunho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informar atividades complementares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que a simulação e a decisão considerem o conjunto de CNAEs do pedido.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Dono efetivo, status rascunho</w:t>
      </w:r>
    </w:p>
    <w:p>
      <w:pPr>
        <w:jc w:val="both"/>
      </w:pPr>
      <w:r>
        <w:rPr>
          <w:rFonts w:ascii="Arial" w:hAnsi="Arial"/>
          <w:sz w:val="24"/>
        </w:rPr>
        <w:t>• Mesma rota da atividade principal: PUT portal/solicitacoes/{solicitacao}/atividades</w:t>
      </w:r>
    </w:p>
    <w:p>
      <w:pPr>
        <w:jc w:val="both"/>
      </w:pPr>
      <w:r>
        <w:rPr>
          <w:rFonts w:ascii="Arial" w:hAnsi="Arial"/>
          <w:sz w:val="24"/>
        </w:rPr>
        <w:t>• complementares: nulo ou array, tamanho máximo do parâmetro</w:t>
      </w:r>
    </w:p>
    <w:p>
      <w:pPr>
        <w:jc w:val="both"/>
      </w:pPr>
      <w:r>
        <w:rPr>
          <w:rFonts w:ascii="Arial" w:hAnsi="Arial"/>
          <w:sz w:val="24"/>
        </w:rPr>
        <w:t>• Cada item: inteiro, distinto, existente e ativo</w:t>
      </w:r>
    </w:p>
    <w:p>
      <w:pPr>
        <w:jc w:val="both"/>
      </w:pPr>
      <w:r>
        <w:rPr>
          <w:rFonts w:ascii="Arial" w:hAnsi="Arial"/>
          <w:sz w:val="24"/>
        </w:rPr>
        <w:t>• Mensagens de limite excedido, CNAE inativo ou inexistente, duplicata e principal repetida entre os complementares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Informar CNAEs complementares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Informar CNAEs complementares]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informar atividades complementares,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Permitir zero ou mais CNAEs complementares ativos no rascunho, até o limite parametrizado, sem repetir a atividade principal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HU.065 - INFORMAR CNAES COMPLEMENTARES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