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HU.068 – PROTOCOLAR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HU-068. Transformar o rascunho em solicitação protocolada, com número único, data de protocolo, trilha de transição e comprovante em PDF para o requerente Regras evidenciadas no código: (1) O número tem a forma {prefixo}-{ano}-{sequência}, prefixo solicitacao.protocolo.prefixo (padrão VIA) e padding solicitacao.protocolo.padding (padrão 6). O contador anual usa lockForUpdate. O único de protocol_number é a defesa final. (2) Dados mínimos do portal: empresa, polígono, área maior que zero e CNAE principal. Origem Regin dispensa o polígono nessa trava e dispensa a trava documental. (3) A simulação desfavorável não impede o protocolo. A ciência só é registrada no caso nao_permitido. (4) O snapshot da simulação não é reprocessado no protocolo. (5) Transição inválida lança InvalidStatusTransitionException. Fluxo evidenciado: 1. O pedido pode trazer proceed_despite. O serviço só grava applicant_proceeded_despite quando esse sinal é verdadeiro e a simulação consolidada é nao_permitido 2. Antes de consumir número, recusa status diferente de rascunho, dados mínimos ausentes e documentos obrigatórios faltantes (origem diferente de Regin) 3. Em uma transação, ProtocolNumberGenerator gera o número, grava protocol_number e protocoled_at e a máquina de estados vai de rascunho para protocolada, com rótulo público e auditoria da transição 4. Fora da transação, completarTerritorio tenta localização pela inscrição, zona, bairro, CODLOG, logradouro tributário e polígono de endereçamento. Falha de SEFAZ ou GIS não desfaz o protocolo 5. Depois do commit, dispara SolicitacaoProtocolada. O listener AvaliarFluxoExpresso enfileira DecidirFluxoExpressoJob 6. O portal redireciona à lista com o número gerado. Erro de documento ou de dados mínimos volta como flash, sem número 7. Na consulta autenticada, o dono baixa o comprovante. O PDF é gerado na hora, não fica armazenado, traz protocolo, empresa, endereço, área, CNAEs e código CMP-{protocolo}-{hmac}. Cada emissão é auditada Não evidenciado no código: Pagamento ou DAM como condição do protocolo Armazenamento permanente do PDF do comprovante Reprocessamento do motor de viabilidade dentro do ProtocolarSolicitacaoService. Divergência em relação à redação anterior: O protocolo não espera pagamento nem DAM. Em seguida o sistema enfileira a decisão do fluxo expresso. O comprovante é PDF do protocolo, gerado sob demanda, distinto do TVL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Protocolar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Protocolar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protocolar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Transformar o rascunho em solicitação protocolada, com número único, data de protocolo, trilha de transição e comprovante em PDF para o requerente.</w:t>
      </w:r>
    </w:p>
    <w:p>
      <w:pPr>
        <w:pStyle w:val="Heading1"/>
      </w:pPr>
      <w:r>
        <w:t>HISTÓRIA DE USUÁRIO: Protocolar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protocolar a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receber um número oficial e acompanhar o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Protocolar: dono efetivo e status rascunho (ViabilityRequestPolicy::protocol)</w:t>
      </w:r>
    </w:p>
    <w:p>
      <w:pPr>
        <w:jc w:val="both"/>
      </w:pPr>
      <w:r>
        <w:rPr>
          <w:rFonts w:ascii="Arial" w:hAnsi="Arial"/>
          <w:sz w:val="24"/>
        </w:rPr>
        <w:t>• Rota POST portal/solicitacoes/{solicitacao}/protocolar, com autenticação do portal e middleware portal.solicitacao</w:t>
      </w:r>
    </w:p>
    <w:p>
      <w:pPr>
        <w:jc w:val="both"/>
      </w:pPr>
      <w:r>
        <w:rPr>
          <w:rFonts w:ascii="Arial" w:hAnsi="Arial"/>
          <w:sz w:val="24"/>
        </w:rPr>
        <w:t>• Comprovante: dono efetivo (view), GET portal/solicitacoes/{solicitacao}/comprovante. Sem protocolo, a resposta é 422</w:t>
      </w:r>
    </w:p>
    <w:p>
      <w:pPr>
        <w:jc w:val="both"/>
      </w:pPr>
      <w:r>
        <w:rPr>
          <w:rFonts w:ascii="Arial" w:hAnsi="Arial"/>
          <w:sz w:val="24"/>
        </w:rPr>
        <w:t>• proceed_despite opcional, booleano</w:t>
      </w:r>
    </w:p>
    <w:p>
      <w:pPr>
        <w:jc w:val="both"/>
      </w:pPr>
      <w:r>
        <w:rPr>
          <w:rFonts w:ascii="Arial" w:hAnsi="Arial"/>
          <w:sz w:val="24"/>
        </w:rPr>
        <w:t>• Bloqueios de domínio, com mensagem ao usuário: documentação incompleta e solicitação incompleta (lista de campos)</w:t>
      </w:r>
    </w:p>
    <w:p>
      <w:pPr>
        <w:jc w:val="both"/>
      </w:pPr>
      <w:r>
        <w:rPr>
          <w:rFonts w:ascii="Arial" w:hAnsi="Arial"/>
          <w:sz w:val="24"/>
        </w:rPr>
        <w:t>• Comprovante inexistente: solicitação sem protocol_number ou sem protocoled_at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Protocolar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Protocolar solicitação]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protocolar a solicitação,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Transformar o rascunho em solicitação protocolada, com número único, data de protocolo, trilha de transição e comprovante em PDF para o requerente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HU.068 - PROTOCOLAR SOLICITAÇÃO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