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HU.074 – DEFERIR AUTOMATICAMENTE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HU-074. Deferir no fluxo expresso o processo elegível cujo veredito consolidado é permitido ou permitido com condições, e também a exclusão de atividade que a regra manda deferir sem novo enquadramento, sempre com decisão imutável e número de TVL Regras evidenciadas no código: (1) Permitido e permitido com condições, no caminho emitir, geram deferimento. Não há status intermediário de "deferido com condições". (2) Todo deferimento deste serviço recebe número de TVL. Indeferimento não recebe. (3) A decisão é uma linha por solicitação. Corrida que esbarra na unicidade não cria segunda decisão nem redispara o evento. (4) Alto risco sem ramo expresso da planilha não chega ao deferimento, exceto o ramo curado como expresso explícito, que a planilha manda decidir. (5) Veredito pendente não é deferido. Fluxo evidenciado: 1. emitir cria ViabilityDecision com fluxo expresso, resultado deferida e o consolidado resolvido quando este não é nao_permitido 2. Gera tvl_product_number por TvlNumberGenerator (prefixo padrão TVL, sequência única sem reinício anual, início configurável em 3000000) 3. Grava por CNAE, versões de regra, fundamentação vinda do motor e o traço da decisão. O motivo da decisão fica nulo no deferimento por este caminho 4. Se a inscrição é abrigada de escritório virtual, a decisão referencia o TVL da sede 5. A máquina transiciona para deferida. Se o processo estava na análise sem dono, limpa status, etapa e prazo de análise 6. Audita expresso / decisao na mesma transação. Depois do commit, dispara ResultadoEmitido 7. Exclusão exclusiva de CNAEs, sem o gatilho de sede, defere sem consultar enquadramento, com fundamentação da exclusão, TVL e por CNAE só com a intenção excluir 8. Exclusão confirmada do CNAE gatilho, pelo titular da sede ativa, defere do mesmo modo e, após o commit, desvincula a inscrição. Sem a confirmação explícita (confirma_perda_condicao_sede exatamente verdadeiro), não defere: encaminha à análise Não evidenciado no código: Deferimento automático com veredito pendente ou com alto risco fora do ramo expresso da planilha Número de TVL em indeferimento Entrega do PDF do TVL ao requerente neste fluxo. A geração sob demanda do PDF é outro serviço, da análise. Divergência em relação à redação anterior: O deferimento não espera DAM pago nem devolve PDF ao cidadão. Permitido com condições também defere. A exclusão de atividade defere sem rodar o enquadramento locacional, com registro próprio na fundamentação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EP09 — Fluxo Expresso</w:t>
      </w:r>
    </w:p>
    <w:p>
      <w:r>
        <w:rPr>
          <w:rFonts w:ascii="Arial" w:hAnsi="Arial"/>
          <w:sz w:val="22"/>
        </w:rPr>
        <w:t>HISTÓRIA DE USUÁRIO: Deferir automaticamente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Deferir automaticamente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EP09 — Fluxo Expresso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deferir automaticamente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Deferir no fluxo expresso o processo elegível cujo veredito consolidado é permitido ou permitido com condições, e também a exclusão de atividade que a regra manda deferir sem novo enquadramento, sempre com decisão imutável e número de TVL.</w:t>
      </w:r>
    </w:p>
    <w:p>
      <w:pPr>
        <w:pStyle w:val="Heading1"/>
      </w:pPr>
      <w:r>
        <w:t>HISTÓRIA DE USUÁRIO: Deferir automaticamente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deferir automaticamente os casos que a regra autoriza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encerrar o processo sem análise humana e registrar o produto.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O processamento do FluxoExpressoService. Na contingência, o operador autorizado entra como ator da decisão. No job disparado pelo protocolo do portal, o ator é nulo, salvo reavaliação com atorId</w:t>
      </w:r>
    </w:p>
    <w:p>
      <w:pPr>
        <w:jc w:val="both"/>
      </w:pPr>
      <w:r>
        <w:rPr>
          <w:rFonts w:ascii="Arial" w:hAnsi="Arial"/>
          <w:sz w:val="24"/>
        </w:rPr>
        <w:t>• Não há botão de deferimento expresso para o analista neste serviço</w:t>
      </w:r>
    </w:p>
    <w:p>
      <w:pPr>
        <w:jc w:val="both"/>
      </w:pPr>
      <w:r>
        <w:rPr>
          <w:rFonts w:ascii="Arial" w:hAnsi="Arial"/>
          <w:sz w:val="24"/>
        </w:rPr>
        <w:t>• Status de entrada: protocolada, ou em análise ainda não assumida e sem decisão</w:t>
      </w:r>
    </w:p>
    <w:p>
      <w:pPr>
        <w:jc w:val="both"/>
      </w:pPr>
      <w:r>
        <w:rPr>
          <w:rFonts w:ascii="Arial" w:hAnsi="Arial"/>
          <w:sz w:val="24"/>
        </w:rPr>
        <w:t>• Confirmação de perda de sede não aceita nulo nem falso como sim</w:t>
      </w:r>
    </w:p>
    <w:p>
      <w:pPr>
        <w:jc w:val="both"/>
      </w:pPr>
      <w:r>
        <w:rPr>
          <w:rFonts w:ascii="Arial" w:hAnsi="Arial"/>
          <w:sz w:val="24"/>
        </w:rPr>
        <w:t>• Titularidade do vínculo de sede: outra empresa na mesma inscrição não defere a exclusão da sede alheia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Deferir automaticamente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Deferir automaticamente]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deferir automaticamente os casos que a regra autoriza,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Deferir no fluxo expresso o processo elegível cujo veredito consolidado é permitido ou permitido com condições, e também a exclusão de atividade que a regra manda deferir sem novo enquadramento, sempre com decisão imutável e número de TVL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HU.074 - DEFERIR AUTOMATICAMENTE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