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HU.078 – REGISTRAR AUDITORIA DA DECISÃO AUTOMÁTICA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HU-078. Gravar, na mesma transação da decisão expressa, o resultado, o motivo, o por CNAE, a versão de regra representativa e, na decisão, o traço e a fundamentação usados depois na consulta Regras evidenciadas no código: (1) A auditoria da decisão é síncrona, dentro da transação. O evento posterior não é a fonte da trilha. (2) A fundamentação exibida é a que os motores devolveram, reunida sem duplicar. Na exclusão sem enquadramento, o texto gravado é o da própria regra de exclusão. (3) Consultar a lista ou o detalhe gera outra auditoria, de consulta, e não altera a decisão. (4) Versão representativa ausente fica nula. O mapa completo permanece na decisão quando houve resolução. Fluxo evidenciado: 1. No deferimento, no indeferimento e no encaminhamento à análise, AuditService::log grava log expresso, evento decisao, com id da solicitação, protocolo, resultado e o conteúdo da passagem 2. Na emissão, o resultado da auditoria é deferida ou indeferida. As propriedades incluem consolidado, TVL (nulo no indeferimento) e resumo por CNAE (código, tendência e fluxo). rulesVersion é a primeira versão não vazia na ordem Quadro 10, risco de tratamento, Quadro 11A, risco municipal, risco sanitário, zona e bairro 3. A linha viability_decisions guarda per_cnae com código TLL, fundamentação de cada CNAE, rules_versions, fundamentacao consolidada sem duplicar e decision_trace montado do array já resolvido, sem rodar o motor de novo 4. No encaminhamento, o resultado da auditoria é analise, com motivo, setor, consolidado e por CNAE quando houve resolução. Não há ViabilityDecision. A queda estruturada fica em expresso_quedas, com gatilho e dimensão quando o motor os trouxe; sem isso, a linha não inventa gatilho 5. Exclusão de atividade audita os CNAEs excluídos e o TVL, com rulesVersion nulo, porque não houve enquadramento 6. Se o job esgota as tentativas, decisao-falha registra o id e a mensagem do erro, com resultado falha 7. O detalhe da retaguarda projeta a explicação a partir do traço já gravado Não evidenciado no código: Auditoria da decisão automática feita só pelo listener, depois do commit, sem o log síncrono Reexecução do motor ao abrir a tela de explicação Registro de regras que o motor não devolveu. Divergência em relação à redação anterior: A redação pedia um registro genérico de "todas as regras". O código grava a decisão, a versão representativa, o mapa de versões, a fundamentação devolvida pelo motor e o traço por CNAE. Não há trilha separada que reexecute a LOUOS na hora da consulta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Registrar auditoria da decisão automática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Registrar auditoria da decisão automática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auditoria da decisão automática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Gravar, na mesma transação da decisão expressa, o resultado, o motivo, o por CNAE, a versão de regra representativa e, na decisão, o traço e a fundamentação usados depois na consulta.</w:t>
      </w:r>
    </w:p>
    <w:p>
      <w:pPr>
        <w:pStyle w:val="Heading1"/>
      </w:pPr>
      <w:r>
        <w:t>HISTÓRIA DE USUÁRIO: Registrar auditoria da decisão automática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auditar a decisão automática no momento em que ela é gravada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a conferência posterior não dependa do evento nem de um reprocessamento do motor.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escrita é do FluxoExpressoService e, no prazo BAP, do IndeferirSemBapService</w:t>
      </w:r>
    </w:p>
    <w:p>
      <w:pPr>
        <w:jc w:val="both"/>
      </w:pPr>
      <w:r>
        <w:rPr>
          <w:rFonts w:ascii="Arial" w:hAnsi="Arial"/>
          <w:sz w:val="24"/>
        </w:rPr>
        <w:t>• A leitura na retaguarda exige consultar-solicitacoes (HU-076). Cada abertura de lista ou detalhe também audita a consulta (consulta-resultado-lista e consulta-resultado)</w:t>
      </w:r>
    </w:p>
    <w:p>
      <w:pPr>
        <w:jc w:val="both"/>
      </w:pPr>
      <w:r>
        <w:rPr>
          <w:rFonts w:ascii="Arial" w:hAnsi="Arial"/>
          <w:sz w:val="24"/>
        </w:rPr>
        <w:t>• Não há formulário. A trilha acompanha a transição válida da máquina de estados (solicitacoes / transicao), além do log expresso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Registrar auditoria da decisão automática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Registrar auditoria da decisão automática]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auditar a decisão automática no momento em que ela é gravada,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Gravar, na mesma transação da decisão expressa, o resultado, o motivo, o por CNAE, a versão de regra representativa e, na decisão, o traço e a fundamentação usados depois na consulta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HU.078 - REGISTRAR AUDITORIA DA DECISÃO AUTOMÁTICA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