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HU.102 – MONITORAR CONFORMIDADE LGPD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HU-102. Acompanhar, em métricas, consentimento do termo, retenção de logs de acesso e volume de consultas a dado pessoal Regras evidenciadas no código: (1) O painel não exibe nome, CPF, CNPJ nem texto de atividade. (2) Percentual de aceite é zero quando não há usuários ou não há termo; não há percentual inventado de conformidade. (3) Apagar trilha de decisão não faz parte deste monitoramento. Fluxo evidenciado: 1. LgpdMonitorService::consentimentos conta usuários e aceites da versão vigente de LegalTerm tipo lgpd. Sem termo publicado, informa sem_termo_publicado e não inventa versão 2. retencao lê os dias de retencao.access_logs.dias e o último evento real pruning-access-logs na trilha (log_name retencao). Decisões de viabilidade ficam fora desse pruning 3. acessosDadoPessoal agrega a marca personal_data da activity_log, sem listar o conteúdo 4. A prop direitosTitular declara status pendente-dpo: eliminação e anonimização do titular não têm rito nesta tela Não evidenciado no código: Pedido do titular de eliminação, anonimização ou portabilidade Relatório nominativo de quem acessou dado pessoal. Divergência em relação à redação anterior: O texto pedia “monitorar LGPD” de forma genérica, inclusive fluxos de integração. O código agrega três fontes internas e deixa explícita a pendência do DPO para os direitos do art. 18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Monitorar conformidade LGPD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Monitorar conformidade LGPD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monitorar conformidade lgpd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Acompanhar, em métricas, consentimento do termo, retenção de logs de acesso e volume de consultas a dado pessoal.</w:t>
      </w:r>
    </w:p>
    <w:p>
      <w:pPr>
        <w:pStyle w:val="Heading1"/>
      </w:pPr>
      <w:r>
        <w:t>HISTÓRIA DE USUÁRIO: Monitorar conformidade LGPD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com permissão de monitoramento LGPD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indicadores de conformidade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cobertura de aceite e retenção sem abrir dado pessoal na tela.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Permissão monitorar-lgpd em /gestao/lgpd</w:t>
      </w:r>
    </w:p>
    <w:p>
      <w:pPr>
        <w:jc w:val="both"/>
      </w:pPr>
      <w:r>
        <w:rPr>
          <w:rFonts w:ascii="Arial" w:hAnsi="Arial"/>
          <w:sz w:val="24"/>
        </w:rPr>
        <w:t>• A consulta é auditada em lgpd / consulta-painel e marcada como dado pessoal</w:t>
      </w:r>
    </w:p>
    <w:p>
      <w:pPr>
        <w:jc w:val="both"/>
      </w:pPr>
      <w:r>
        <w:rPr>
          <w:rFonts w:ascii="Arial" w:hAnsi="Arial"/>
          <w:sz w:val="24"/>
        </w:rPr>
        <w:t>• Não há filtro nem formulário. A rota só lê agregados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Monitorar conformidade LGPD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Monitorar conformidade LGPD]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indicadores de conformidade,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Acompanhar, em métricas, consentimento do termo, retenção de logs de acesso e volume de consultas a dado pessoal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HU.102 - MONITORAR CONFORMIDADE LGPD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