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HU.106 – INTEGRAR COM CADASTRO IMOBILIÁRIO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HU-106. Consultar o cadastro imobiliário da SEFAZ, pelo BFF da SEDUR, para obter endereço e coordenada do imóvel a partir da inscrição Regras evidenciadas no código: (1) Desligado não simula ponto. (2) Dado de proprietário não entra no resultado mapeado. (3) A classe UnavailablePropertyRegistryLookup existe e não é o binding atual. Fluxo evidenciado: 1. Inscrição sem dígitos gera não encontrado 2. Com o recurso desligado, a consulta lança PropertyRegistryUnavailableException e não inventa coordenada 3. Com o recurso ligado, há GET na URL configurada, com timeout, retentativa em erro de servidor ou falha de rede, e log com inscrição, HTTP e CodigoRetorno. Nome do proprietário e histórico de propriedade são descartados 4. HTTP 404 ou CodigoRetorno diferente de 0 é imóvel não encontrado. Falha de rede, HTTP não sucedido ou corpo inválido é indisponibilidade 5. Coordenada UTM 24S é convertida para WGS84. Endereço sai do logradouro, número e complemento do imóvel devolvido Não evidenciado no código: Consulta com o recurso desligado produzindo endereço fictício Persistência do nome do proprietário. Divergência em relação à redação anterior: O texto genérico não dizia o bloqueio do interruptor nem o descarte do proprietário. A integração em uso é o BFF da SEDUR sobre o cadastro da SEFAZ, não um adaptador vazio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EP13 — Integrações</w:t>
      </w:r>
    </w:p>
    <w:p>
      <w:r>
        <w:rPr>
          <w:rFonts w:ascii="Arial" w:hAnsi="Arial"/>
          <w:sz w:val="22"/>
        </w:rPr>
        <w:t>HISTÓRIA DE USUÁRIO: Integrar com Cadastro Imobiliário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Integrar com Cadastro Imobiliário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EP13 — Integrações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integrar com cadastro imobiliário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Consultar o cadastro imobiliário da SEFAZ, pelo BFF da SEDUR, para obter endereço e coordenada do imóvel a partir da inscrição.</w:t>
      </w:r>
    </w:p>
    <w:p>
      <w:pPr>
        <w:pStyle w:val="Heading1"/>
      </w:pPr>
      <w:r>
        <w:t>HISTÓRIA DE USUÁRIO: Integrar com Cadastro Imobiliário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resolver a inscrição imobiliária na base oficial quando a consulta está habilitada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usar o ponto e o endereço devolvidos, e falhar de forma explícita quando o serviço não responde.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binding de PropertyRegistryLookup é SedurSefazPropertyRegistryLookup</w:t>
      </w:r>
    </w:p>
    <w:p>
      <w:pPr>
        <w:jc w:val="both"/>
      </w:pPr>
      <w:r>
        <w:rPr>
          <w:rFonts w:ascii="Arial" w:hAnsi="Arial"/>
          <w:sz w:val="24"/>
        </w:rPr>
        <w:t>• A consulta só sai se features.cadastro_imobiliario está ligado. URL de homologação ou produção é parâmetro, com teste de conexão em /gestao/config-inscricao-imobiliaria/testar (manter-parametros)</w:t>
      </w:r>
    </w:p>
    <w:p>
      <w:pPr>
        <w:jc w:val="both"/>
      </w:pPr>
      <w:r>
        <w:rPr>
          <w:rFonts w:ascii="Arial" w:hAnsi="Arial"/>
          <w:sz w:val="24"/>
        </w:rPr>
        <w:t>• Quem abre processo (portal ou job do REGIN) dispara a consulta; não há tela pública desta HU</w:t>
      </w:r>
    </w:p>
    <w:p>
      <w:pPr>
        <w:jc w:val="both"/>
      </w:pPr>
      <w:r>
        <w:rPr>
          <w:rFonts w:ascii="Arial" w:hAnsi="Arial"/>
          <w:sz w:val="24"/>
        </w:rPr>
        <w:t>• Inscrição é reduzida a dígitos antes da chamada</w:t>
      </w:r>
    </w:p>
    <w:p>
      <w:pPr>
        <w:jc w:val="both"/>
      </w:pPr>
      <w:r>
        <w:rPr>
          <w:rFonts w:ascii="Arial" w:hAnsi="Arial"/>
          <w:sz w:val="24"/>
        </w:rPr>
        <w:t>• Timeout, retentativas e intervalo vêm de viabiliza.integrations.inscricao_imobiliaria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Integrar com Cadastro Imobiliário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Integrar com Cadastro Imobiliário]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resolver a inscrição imobiliária na base oficial quando a consulta está habilitada,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Consultar o cadastro imobiliário da SEFAZ, pelo BFF da SEDUR, para obter endereço e coordenada do imóvel a partir da inscrição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HU.106 - INTEGRAR COM CADASTRO IMOBILIÁRIO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