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HU.107 – INTEGRAR COM GIS MUNICIPAL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HU-107. Identificar zona, via, endereço e camadas incidentes consultando o GeoServer da SEDUR e, no lote, o ArcGIS da SEMAP quando esse for o fallback Regras evidenciadas no código: (1) Identificação territorial do processo chama o GeoServer de fato. (2) Nota interna de falha de camada não é enviada como justificativa à JUCEB. (3) Camada não cadastrada não é consultada com type name inventado. Fluxo evidenciado: 1. Zona: GeoServerWfsZonaClient faz WFS no ponto (INTERSECTS, GeoJSON). A maior porção do polígono do imóvel usa o mesmo GeoServer em pool de requisições 2. Classificação viária: GeoServerClassificacaoViariaClient consulta pelo código de logradouro 3. Endereçamento: GeoServerEnderecamentoClient consulta logradouro e número, ou o ponto. SemapLoteClient é o fallback de lote no ArcGIS da SEMAP 4. Demais camadas: GeoServerWfsCamadaClient no type name configurado 5. Resposta em ISO-8859-1 é normalizada. Falha de rede ou feição ausente segue o tratamento do cliente (exceção ou hit vazio), sem geometria substituta 6. O código da zona e o bairro oficial materializados no processo alimentam o painel por bairro. O indicador “por zona” da tela de indicadores ainda agrupa por bairro e declara a zona indisponível naquela agregação Não evidenciado no código: Uso da zona oficial na série “solicitações por zona” de IndicadoresViabilidadeService::porZona (essa série declara degradação para bairro). Divergência em relação à redação anterior: O texto tratava a integração como pendência genérica de SIG. Os clientes HTTP do GeoServer e do ArcGIS SEMAP estão no fluxo de território. A agregação “solicitações por zona” dos indicadores não usa essa zona: ela degrada para bairro, com rótulo explícito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GIS Municipal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GIS Municipal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gis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Identificar zona, via, endereço e camadas incidentes consultando o GeoServer da SEDUR e, no lote, o ArcGIS da SEMAP quando esse for o fallback.</w:t>
      </w:r>
    </w:p>
    <w:p>
      <w:pPr>
        <w:pStyle w:val="Heading1"/>
      </w:pPr>
      <w:r>
        <w:t>HISTÓRIA DE USUÁRIO: Integrar com GIS Municipal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as camadas geográficas oficiais no ponto ou no logradouro do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gravar zona e restrições a partir da resposta do serviço, e não de um polígono inventado.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Clientes usados por TerritoryService, TerritorialRuleService, CamadasIncidentesService, PoligonoEnderecamentoService e TerritorioProcessoService</w:t>
      </w:r>
    </w:p>
    <w:p>
      <w:pPr>
        <w:jc w:val="both"/>
      </w:pPr>
      <w:r>
        <w:rPr>
          <w:rFonts w:ascii="Arial" w:hAnsi="Arial"/>
          <w:sz w:val="24"/>
        </w:rPr>
        <w:t>• Camadas administráveis em GeoServerLayerController. URLs no catálogo de APIs (aba GeoServer e ArcGIS SEMAP), permissão manter-parametros para a configuração</w:t>
      </w:r>
    </w:p>
    <w:p>
      <w:pPr>
        <w:jc w:val="both"/>
      </w:pPr>
      <w:r>
        <w:rPr>
          <w:rFonts w:ascii="Arial" w:hAnsi="Arial"/>
          <w:sz w:val="24"/>
        </w:rPr>
        <w:t>• Consulta territorial da gestão exige consultar-territorio</w:t>
      </w:r>
    </w:p>
    <w:p>
      <w:pPr>
        <w:jc w:val="both"/>
      </w:pPr>
      <w:r>
        <w:rPr>
          <w:rFonts w:ascii="Arial" w:hAnsi="Arial"/>
          <w:sz w:val="24"/>
        </w:rPr>
        <w:t>• Consultas exigem coordenada ou código de logradouro conforme o cliente</w:t>
      </w:r>
    </w:p>
    <w:p>
      <w:pPr>
        <w:jc w:val="both"/>
      </w:pPr>
      <w:r>
        <w:rPr>
          <w:rFonts w:ascii="Arial" w:hAnsi="Arial"/>
          <w:sz w:val="24"/>
        </w:rPr>
        <w:t>• Timeout e URL saem da configuração da integração, não de constante de tela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GIS Municipal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GIS Municipal]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consultar as camadas geográficas oficiais no ponto ou no logradouro do imóvel,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Identificar zona, via, endereço e camadas incidentes consultando o GeoServer da SEDUR e, no lote, o ArcGIS da SEMAP quando esse for o fallback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HU.107 - INTEGRAR COM GIS MUNICIPAL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