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HU.110 – INTEGRAR COM SEFAZ MUNICIPAL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HU-110. O envio da viabilidade deferida à SEFAZ municipal está previsto no listener e barrado pelo binding: não há transmissão Regras evidenciadas no código: (1) Sem canal oficial não há payload de sucesso. (2) Indisponibilidade da SEFAZ não invalida o deferimento já gravado. (3) Indeferimento não é enviado por este listener. Fluxo evidenciado: 1. No deferimento, o listener chama sendViabilidade 2. O gateway indisponível lança SefazUnavailableException e não monta sucesso 3. O listener captura a exceção, audita a pendência com resultado bloqueado e não relança: a decisão permanece 4. sendEventoEscritorioVirtual também lança a mesma exceção. Não há notificação simulada de escritório virtual à SEFAZ 5. A consulta de inscrição imobiliária pelo BFF da SEDUR é outra integração. Não conta como envio da viabilidade Não evidenciado no código: Cliente HTTP de envio de viabilidade ou de evento de escritório virtual à SEFAZ Homologação com retorno real da SEFAZ. Divergência em relação à redação anterior: O texto descrevia o envio da viabilidade deferida para continuidade do alvará. O código registra a pendência e não envia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SEFAZ municipal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Integrar com SEFAZ municipal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integrar com sefaz municipal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envio da viabilidade deferida à SEFAZ municipal está previsto no listener e barrado pelo binding: não há transmissão.</w:t>
      </w:r>
    </w:p>
    <w:p>
      <w:pPr>
        <w:pStyle w:val="Heading1"/>
      </w:pPr>
      <w:r>
        <w:t>HISTÓRIA DE USUÁRIO: Integrar com SEFAZ municipal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do Viabiliza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O envio da viabilidade deferida à SEFAZ municipal está previsto no listener e barrado pelo binding: não há transmissão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comportamento do código seja o descrito nesta história.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EnviarViabilidadeSefaz escuta ResultadoEmitido e só tenta envio no deferimento. Indeferimento é ignorado e auditado, sem chamar o gateway</w:t>
      </w:r>
    </w:p>
    <w:p>
      <w:pPr>
        <w:jc w:val="both"/>
      </w:pPr>
      <w:r>
        <w:rPr>
          <w:rFonts w:ascii="Arial" w:hAnsi="Arial"/>
          <w:sz w:val="24"/>
        </w:rPr>
        <w:t>• O binding de SefazViabilidadeGateway é UnavailableSefazViabilidadeGateway</w:t>
      </w:r>
    </w:p>
    <w:p>
      <w:pPr>
        <w:jc w:val="both"/>
      </w:pPr>
      <w:r>
        <w:rPr>
          <w:rFonts w:ascii="Arial" w:hAnsi="Arial"/>
          <w:sz w:val="24"/>
        </w:rPr>
        <w:t>• Não há URL de envio de viabilidade em uso: o método não chega a HTTP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Integrar com SEFAZ municipal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Integrar com SEFAZ municipal]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envio da viabilidade deferida à SEFAZ municipal está previsto no listener e barrado pelo binding: não há transmissão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envio da viabilidade deferida à SEFAZ municipal está previsto no listener e barrado pelo binding: não há transmissão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HU.110 - INTEGRAR COM SEFAZ MUNICIPAL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