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HU.126 – SOLICITAÇÕES POR RISCO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HU-126. Agrupar solicitações protocoladas pelo risco municipal vigente do CNAE principal e, na falta dele, pela categoria de análise já gravada Regras evidenciadas no código: (1) A fonte acompanha o número para não tratar categoria derivada como classificação do decreto. (2) CNAE principal é o marcado is_primary na pivô. Fluxo evidenciado: 1. Com versão vigente de risco municipal, o nível é o risco_municipal do CNAE principal nessa versão 2. Sem essa classificação, usa analysis_category. Sem as duas, o nível é nao_classificado 3. Cada linha traz fonte: real, derivada ou indefinida. Sem versão vigente, a fonte real não aparece 4. A contagem é de processos distintos. Não inventa nível Não evidenciado no código: Nível de risco calculado na hora da consulta, fora da versão vigente e da categoria já gravada. Divergência em relação à redação anterior: O texto pedia só “por classificação”. O código separa risco do decreto, categoria derivada e não classificado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EP15 — Relatórios e Indicadores</w:t>
      </w:r>
    </w:p>
    <w:p>
      <w:r>
        <w:rPr>
          <w:rFonts w:ascii="Arial" w:hAnsi="Arial"/>
          <w:sz w:val="22"/>
        </w:rPr>
        <w:t>HISTÓRIA DE USUÁRIO: Solicitações por risco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Solicitações por risco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EP15 — Relatórios e Indicadores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solicitações por risco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Agrupar solicitações protocoladas pelo risco municipal vigente do CNAE principal e, na falta dele, pela categoria de análise já gravada.</w:t>
      </w:r>
    </w:p>
    <w:p>
      <w:pPr>
        <w:pStyle w:val="Heading1"/>
      </w:pPr>
      <w:r>
        <w:t>HISTÓRIA DE USUÁRIO: Solicitações por risco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gestor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ver o volume por nível de risco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distinguir o que tem classificação do decreto do que só tem a categoria derivada do processo.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consultar-relatorios em /gestao/relatorios/indicadores</w:t>
      </w:r>
    </w:p>
    <w:p>
      <w:pPr>
        <w:jc w:val="both"/>
      </w:pPr>
      <w:r>
        <w:rPr>
          <w:rFonts w:ascii="Arial" w:hAnsi="Arial"/>
          <w:sz w:val="24"/>
        </w:rPr>
        <w:t>• Filtro categoria é texto opcional</w:t>
      </w:r>
    </w:p>
    <w:p>
      <w:pPr>
        <w:jc w:val="both"/>
      </w:pPr>
      <w:r>
        <w:rPr>
          <w:rFonts w:ascii="Arial" w:hAnsi="Arial"/>
          <w:sz w:val="24"/>
        </w:rPr>
        <w:t>• Período invertido não agrega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Solicitações por risco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Solicitações por risco]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Comportamento evidenciado no código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código desta história está como descrito na visão geral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ver o volume por nível de risco,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Agrupar solicitações protocoladas pelo risco municipal vigente do CNAE principal e, na falta dele, pela categoria de análise já gravada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HU.126 - SOLICITAÇÕES POR RISCO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