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HU.128 – TAXA DE INDEFERIMENTO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HU-128. Calcular a parcela de decisões indeferidas sobre as decisões do recorte Regras evidenciadas no código: (1) Zero decisões não é taxa zero. (2) Deferimento não entra no numerador. Fluxo evidenciado: 1. taxaIndeferimento conta decisões do recorte e as de desfecho indeferida 2. A taxa usa uma casa decimal. Sem decisões, a taxa é nula 3. O denominador é o mesmo universo da taxa de deferimento: decisões filtradas, não protocolos em aberto 4. Período invertido não calcula Não evidenciado no código: Ranking de motivo de indeferimento nesta taxa (motivos de queda do expresso estão em outro relatório). Divergência em relação à redação anterior: O texto ligava a taxa a “gargalos e restrições” sem definir a base. A base evidenciada é o desfecho indeferido sobre as decisões do filtro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Taxa de indeferimento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Taxa de indeferimento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taxa de indeferimento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Calcular a parcela de decisões indeferidas sobre as decisões do recorte.</w:t>
      </w:r>
    </w:p>
    <w:p>
      <w:pPr>
        <w:pStyle w:val="Heading1"/>
      </w:pPr>
      <w:r>
        <w:t>HISTÓRIA DE USUÁRIO: Taxa de indeferimento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taxa de indeferimento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o peso dos indeferimentos no conjunto decidido.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Mesmos filtros e a mesma regra de período da tela de indicadores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Taxa de indeferimento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Taxa de indeferimento]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taxa de indeferimento,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Calcular a parcela de decisões indeferidas sobre as decisões do recorte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HU.128 - TAXA DE INDEFERIMENTO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