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HU.149 – DETECTAR PADRÕES DE ABUSO E FRAUDE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HU-149. Gerar alertas determinísticos de padrão suspeito e permitir que um gestor confirme ou descarte, sem punir o processo Regras evidenciadas no código: (1) Confirmar ou descartar não indefere, não cassa e não altera a malha fina já criada. (2) A efetividade ignora o filtro da lista: conta todos os alertas. (3) As chaves de filtro saem dos alertas gravados, não de uma lista fixa na tela. Fluxo evidenciado: 1. Na janela abuso.janela_dias (padrão 30), os detectores percorrem solicitações reais 2. Regras presentes: volume_cnpj (acima de abuso.volume_cnpj.limite, padrão 5), volume_contador (acima de abuso.volume_contador.limite, padrão 20, pelo usuário que criou), poligono_repetido (mesmo anel em endereços distintos), inscricao_atividades_incompativeis (mesma inscrição com CNAEs primários distintos; o mínimo no código é 2, proxy até haver matriz oficial) e condicionante_evasao (requerente só com respostas que não acionam análise; mínimo 3). Resposta de condicionante ausente não conta como evasão 3. Alerta aberto com o mesmo rule_key e fingerprint não é duplicado 4. Severidade igual ou acima de abuso.severidade_malha_fina (padrão alta), e com processo vinculado, encaminha à malha fina por MalhaFinaService::encaminharSistema. O status do processo não muda 5. Na tela, o gestor filtra por regra, severidade, status e período, vê efetividade (confirmados ÷ gerados; nula se não houver alerta) e confirma ou descarta com justificativa obrigatória. Só o alerta muda Não evidenciado no código: Bloqueio automático de protocolo por suspeita Modelo estatístico ou provedor de IA neste ciclo (a varredura preditiva é outra HU). Divergência em relação à redação anterior: O texto falava em fraude genérica e decisão automática. O código alerta e, no limiar, só encaminha à malha fina. A matriz oficial de CNAEs incompatíveis não está no detector: o proxy é a simultaneidade de atividades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Detectar padrões de abuso e fraude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Detectar padrões de abuso e fraude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detectar padrões de abuso e fraude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Gerar alertas determinísticos de padrão suspeito e permitir que um gestor confirme ou descarte, sem punir o processo.</w:t>
      </w:r>
    </w:p>
    <w:p>
      <w:pPr>
        <w:pStyle w:val="Heading1"/>
      </w:pPr>
      <w:r>
        <w:t>HISTÓRIA DE USUÁRIO: Detectar padrões de abuso e fraude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revisar alertas de abuso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 atenção à malha fina onde o padrão se repetiu, sem indeferir automaticamente.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ciclo roda pelo comando abuso:detectar (AbuseDetectionService). Com features.deteccao_abuso desligado, o ciclo não grava nada</w:t>
      </w:r>
    </w:p>
    <w:p>
      <w:pPr>
        <w:jc w:val="both"/>
      </w:pPr>
      <w:r>
        <w:rPr>
          <w:rFonts w:ascii="Arial" w:hAnsi="Arial"/>
          <w:sz w:val="24"/>
        </w:rPr>
        <w:t>• A tela /gestao/abuso exige gerenciar-alertas-abuso</w:t>
      </w:r>
    </w:p>
    <w:p>
      <w:pPr>
        <w:jc w:val="both"/>
      </w:pPr>
      <w:r>
        <w:rPr>
          <w:rFonts w:ascii="Arial" w:hAnsi="Arial"/>
          <w:sz w:val="24"/>
        </w:rPr>
        <w:t>• Justificativa obrigatória, texto, no máximo 2000 caracteres (ResolverAbuseAlertRequest)</w:t>
      </w:r>
    </w:p>
    <w:p>
      <w:pPr>
        <w:jc w:val="both"/>
      </w:pPr>
      <w:r>
        <w:rPr>
          <w:rFonts w:ascii="Arial" w:hAnsi="Arial"/>
          <w:sz w:val="24"/>
        </w:rPr>
        <w:t>• Data de filtro só no formato YYYY-MM-DD; outro valor é ignorado</w:t>
      </w:r>
    </w:p>
    <w:p>
      <w:pPr>
        <w:jc w:val="both"/>
      </w:pPr>
      <w:r>
        <w:rPr>
          <w:rFonts w:ascii="Arial" w:hAnsi="Arial"/>
          <w:sz w:val="24"/>
        </w:rPr>
        <w:t>• Paginação 10, 20, 50 ou 100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Detectar padrões de abuso e fraude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Detectar padrões de abuso e fraude]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revisar alertas de abuso,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Gerar alertas determinísticos de padrão suspeito e permitir que um gestor confirme ou descarte, sem punir o processo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HU.149 - DETECTAR PADRÕES DE ABUSO E FRAUDE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