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HU.153 – MANTER TIPOS DE SERVIÇO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pelo código-fonte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Catálogo Viabiliza: HU-153. Manter os tipos de serviço da solicitação de viabilidade Regras evidenciadas no código: (1) O código é livre, único e obrigatório. O formato oficial dos códigos está registrado no Form Request como pendência da SEDUR. (2) Código não muda depois do cadastro. (3) Desativar não apaga tipo já referenciado por solicitação. Fluxo evidenciado: 1. A lista busca por código ou nome, filtra situação, ordena por código e pagina em 10, 15, 25 ou 50 (padrão 15) 2. Cada item traz código, nome, pista de fluxo e situação 3. Incluir grava código, nome, pista de fluxo e situação. Tipo novo nasce ativo quando a situação não vem no envio 4. Editar altera nome, pista de fluxo e situação. O código enviado é ignorado 5. A ativação inverte active. Não há exclusão. Tipo inativo sai da seleção do requerente e o registro permanece Não evidenciado no código: Exclusão física do tipo Catálogo fechado de códigos imposto pela SEDUR. O código aceito é texto único de até 50 caracteres. Divergência em relação à redação anterior: Não havia HU. A capacidade existia no código sem rastreabilidade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serviço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Manter tipos de serviço</w:t>
      </w:r>
    </w:p>
    <w:p>
      <w:r>
        <w:rPr>
          <w:rFonts w:ascii="Arial" w:hAnsi="Arial"/>
          <w:sz w:val="22"/>
        </w:rPr>
        <w:t xml:space="preserve">  COMPORTAMENTO ESPERADO TELA 1</w:t>
      </w:r>
    </w:p>
    <w:p>
      <w:r>
        <w:rPr>
          <w:rFonts w:ascii="Arial" w:hAnsi="Arial"/>
          <w:sz w:val="22"/>
        </w:rPr>
        <w:t>APROVAÇÃO DO REQUISITO</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tipos de serviço</w:t>
      </w:r>
      <w:r>
        <w:rPr>
          <w:rFonts w:ascii="Arial" w:hAnsi="Arial"/>
          <w:b/>
          <w:sz w:val="24"/>
        </w:rPr>
        <w:t xml:space="preserve">, de modo que </w:t>
      </w:r>
      <w:r>
        <w:rPr>
          <w:rFonts w:ascii="Arial" w:hAnsi="Arial"/>
          <w:b w:val="0"/>
          <w:sz w:val="24"/>
        </w:rPr>
        <w:t>Manter os tipos de serviço da solicitação de viabilidade.</w:t>
      </w:r>
    </w:p>
    <w:p>
      <w:pPr>
        <w:pStyle w:val="Heading1"/>
      </w:pPr>
      <w:r>
        <w:t>HISTÓRIA DE USUÁRIO: Manter tipos de serviço</w:t>
      </w:r>
    </w:p>
    <w:p>
      <w:pPr>
        <w:jc w:val="both"/>
      </w:pPr>
      <w:r>
        <w:rPr>
          <w:rFonts w:ascii="Arial" w:hAnsi="Arial"/>
          <w:b/>
          <w:sz w:val="24"/>
        </w:rPr>
        <w:t xml:space="preserve">Como </w:t>
      </w:r>
      <w:r>
        <w:rPr>
          <w:rFonts w:ascii="Arial" w:hAnsi="Arial"/>
          <w:b w:val="0"/>
          <w:sz w:val="24"/>
        </w:rPr>
        <w:t>administrador com `manter-tipos-servico`</w:t>
      </w:r>
      <w:r>
        <w:rPr>
          <w:rFonts w:ascii="Arial" w:hAnsi="Arial"/>
          <w:b/>
          <w:sz w:val="24"/>
        </w:rPr>
        <w:t xml:space="preserve"> quero </w:t>
      </w:r>
      <w:r>
        <w:rPr>
          <w:rFonts w:ascii="Arial" w:hAnsi="Arial"/>
          <w:b w:val="0"/>
          <w:sz w:val="24"/>
        </w:rPr>
        <w:t>cadastrar, corrigir e desativar tipos de serviço</w:t>
      </w:r>
      <w:r>
        <w:rPr>
          <w:rFonts w:ascii="Arial" w:hAnsi="Arial"/>
          <w:b/>
          <w:sz w:val="24"/>
        </w:rPr>
        <w:t xml:space="preserve">, de modo que </w:t>
      </w:r>
      <w:r>
        <w:rPr>
          <w:rFonts w:ascii="Arial" w:hAnsi="Arial"/>
          <w:b w:val="0"/>
          <w:sz w:val="24"/>
        </w:rPr>
        <w:t>a solicitação oferecer só os tipos ativos.</w:t>
      </w:r>
    </w:p>
    <w:p>
      <w:pPr>
        <w:pStyle w:val="Heading1"/>
      </w:pPr>
      <w:r>
        <w:t>PRÉ-REQUISITOS</w:t>
      </w:r>
    </w:p>
    <w:p>
      <w:pPr>
        <w:jc w:val="both"/>
      </w:pPr>
      <w:r>
        <w:rPr>
          <w:rFonts w:ascii="Arial" w:hAnsi="Arial"/>
          <w:sz w:val="24"/>
        </w:rPr>
        <w:t>• Listar e gravar exigem manter-tipos-servico. Não há permissão só de consulta</w:t>
      </w:r>
    </w:p>
    <w:p>
      <w:pPr>
        <w:jc w:val="both"/>
      </w:pPr>
      <w:r>
        <w:rPr>
          <w:rFonts w:ascii="Arial" w:hAnsi="Arial"/>
          <w:sz w:val="24"/>
        </w:rPr>
        <w:t>• Menu Regras, item Tipos de serviço (/gestao/tipos-servico)</w:t>
      </w:r>
    </w:p>
    <w:p>
      <w:pPr>
        <w:jc w:val="both"/>
      </w:pPr>
      <w:r>
        <w:rPr>
          <w:rFonts w:ascii="Arial" w:hAnsi="Arial"/>
          <w:sz w:val="24"/>
        </w:rPr>
        <w:t>• No cadastro, code obrigatório, até 50 caracteres, único em viability_service_types.code, com trim</w:t>
      </w:r>
    </w:p>
    <w:p>
      <w:pPr>
        <w:jc w:val="both"/>
      </w:pPr>
      <w:r>
        <w:rPr>
          <w:rFonts w:ascii="Arial" w:hAnsi="Arial"/>
          <w:sz w:val="24"/>
        </w:rPr>
        <w:t>• name obrigatório, até 255</w:t>
      </w:r>
    </w:p>
    <w:p>
      <w:pPr>
        <w:jc w:val="both"/>
      </w:pPr>
      <w:r>
        <w:rPr>
          <w:rFonts w:ascii="Arial" w:hAnsi="Arial"/>
          <w:sz w:val="24"/>
        </w:rPr>
        <w:t>• flow_hint opcional, até 255</w:t>
      </w:r>
    </w:p>
    <w:p>
      <w:pPr>
        <w:jc w:val="both"/>
      </w:pPr>
      <w:r>
        <w:rPr>
          <w:rFonts w:ascii="Arial" w:hAnsi="Arial"/>
          <w:sz w:val="24"/>
        </w:rPr>
        <w:t>• active booleano obrigatório</w:t>
      </w:r>
    </w:p>
    <w:p>
      <w:pPr>
        <w:jc w:val="both"/>
      </w:pPr>
      <w:r>
        <w:rPr>
          <w:rFonts w:ascii="Arial" w:hAnsi="Arial"/>
          <w:sz w:val="24"/>
        </w:rPr>
        <w:t>• Na edição, as mesmas regras de nome, pista e situação, sem o código</w:t>
      </w:r>
    </w:p>
    <w:p>
      <w:pPr>
        <w:pStyle w:val="Heading1"/>
      </w:pPr>
      <w:r>
        <w:t>DEPENDÊNCIAS</w:t>
      </w:r>
    </w:p>
    <w:p>
      <w:r>
        <w:rPr>
          <w:b/>
          <w:sz w:val="24"/>
        </w:rPr>
        <w:t>Passadas</w:t>
      </w:r>
    </w:p>
    <w:p>
      <w:pPr>
        <w:jc w:val="both"/>
      </w:pPr>
      <w:r>
        <w:rPr>
          <w:rFonts w:ascii="Arial" w:hAnsi="Arial"/>
          <w:sz w:val="24"/>
        </w:rPr>
        <w:t>• Nenhuma além do que o código desta história já exige</w:t>
      </w:r>
    </w:p>
    <w:p/>
    <w:p>
      <w:r>
        <w:rPr>
          <w:b/>
          <w:sz w:val="24"/>
        </w:rPr>
        <w:t>Futuras</w:t>
      </w:r>
    </w:p>
    <w:p>
      <w:pPr>
        <w:jc w:val="both"/>
      </w:pPr>
      <w:r>
        <w:rPr>
          <w:rFonts w:ascii="Arial" w:hAnsi="Arial"/>
          <w:sz w:val="24"/>
        </w:rPr>
        <w:t>• Nenhuma</w:t>
      </w:r>
    </w:p>
    <w:p>
      <w:pPr>
        <w:pStyle w:val="Heading1"/>
      </w:pPr>
      <w:r>
        <w:t>INTERFACE DE USUÁRIO</w:t>
      </w:r>
    </w:p>
    <w:p>
      <w:pPr>
        <w:pStyle w:val="Heading2"/>
      </w:pPr>
      <w:r>
        <w:t>TELA 1 - Manter tipos de serviço</w:t>
      </w:r>
    </w:p>
    <w:p>
      <w:r>
        <w:rPr>
          <w:b/>
          <w:sz w:val="22"/>
        </w:rPr>
        <w:t xml:space="preserve">Caminho no menu: </w:t>
      </w:r>
      <w:r>
        <w:rPr>
          <w:sz w:val="22"/>
        </w:rPr>
        <w:t>Conforme a permissão e a rota descritas nos pré-requisitos</w:t>
      </w:r>
    </w:p>
    <w:p/>
    <w:p>
      <w:pPr>
        <w:jc w:val="center"/>
      </w:pPr>
      <w:r>
        <w:rPr>
          <w:i/>
          <w:color w:val="999999"/>
          <w:sz w:val="24"/>
        </w:rPr>
        <w:t>[INSERIR PRINT DA TELA: Manter tipos de serviço]</w:t>
      </w:r>
    </w:p>
    <w:p/>
    <w:p>
      <w:pPr>
        <w:pStyle w:val="Heading3"/>
      </w:pPr>
      <w:r>
        <w:t>COMPORTAMENTO ESPERADO TELA 1</w:t>
      </w:r>
    </w:p>
    <w:p>
      <w:r>
        <w:rPr>
          <w:rFonts w:ascii="Arial" w:hAnsi="Arial"/>
          <w:b/>
          <w:sz w:val="22"/>
        </w:rPr>
        <w:t>Cenário 1: CA-01 — Cadastro</w:t>
      </w:r>
    </w:p>
    <w:p>
      <w:r>
        <w:rPr>
          <w:rFonts w:ascii="Arial" w:hAnsi="Arial"/>
          <w:b/>
          <w:sz w:val="22"/>
        </w:rPr>
        <w:t xml:space="preserve">Dado que </w:t>
      </w:r>
      <w:r>
        <w:rPr>
          <w:rFonts w:ascii="Arial" w:hAnsi="Arial"/>
          <w:sz w:val="22"/>
        </w:rPr>
        <w:t>um usuário com manter-tipos-servico e um código ainda não usado</w:t>
      </w:r>
    </w:p>
    <w:p>
      <w:r>
        <w:rPr>
          <w:rFonts w:ascii="Arial" w:hAnsi="Arial"/>
          <w:b/>
          <w:sz w:val="22"/>
        </w:rPr>
        <w:t xml:space="preserve">Quando </w:t>
      </w:r>
      <w:r>
        <w:rPr>
          <w:rFonts w:ascii="Arial" w:hAnsi="Arial"/>
          <w:sz w:val="22"/>
        </w:rPr>
        <w:t>cadastra nome e, se quiser, a pista de fluxo</w:t>
      </w:r>
    </w:p>
    <w:p>
      <w:r>
        <w:rPr>
          <w:rFonts w:ascii="Arial" w:hAnsi="Arial"/>
          <w:b/>
          <w:sz w:val="22"/>
        </w:rPr>
        <w:t xml:space="preserve">Então </w:t>
      </w:r>
      <w:r>
        <w:rPr>
          <w:rFonts w:ascii="Arial" w:hAnsi="Arial"/>
          <w:sz w:val="22"/>
        </w:rPr>
        <w:t>o tipo entra na lista e nasce ativo se a situação não for enviada</w:t>
      </w:r>
    </w:p>
    <w:p/>
    <w:p>
      <w:r>
        <w:rPr>
          <w:rFonts w:ascii="Arial" w:hAnsi="Arial"/>
          <w:b/>
          <w:sz w:val="22"/>
        </w:rPr>
        <w:t>Cenário 2: CA-02 — Código imutável</w:t>
      </w:r>
    </w:p>
    <w:p>
      <w:r>
        <w:rPr>
          <w:rFonts w:ascii="Arial" w:hAnsi="Arial"/>
          <w:b/>
          <w:sz w:val="22"/>
        </w:rPr>
        <w:t xml:space="preserve">Dado que </w:t>
      </w:r>
      <w:r>
        <w:rPr>
          <w:rFonts w:ascii="Arial" w:hAnsi="Arial"/>
          <w:sz w:val="22"/>
        </w:rPr>
        <w:t>um tipo já gravado</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não muda</w:t>
      </w:r>
    </w:p>
    <w:p/>
    <w:p>
      <w:r>
        <w:rPr>
          <w:rFonts w:ascii="Arial" w:hAnsi="Arial"/>
          <w:b/>
          <w:sz w:val="22"/>
        </w:rPr>
        <w:t>Cenário 3: CA-03 — Desativar sem excluir</w:t>
      </w:r>
    </w:p>
    <w:p>
      <w:r>
        <w:rPr>
          <w:rFonts w:ascii="Arial" w:hAnsi="Arial"/>
          <w:b/>
          <w:sz w:val="22"/>
        </w:rPr>
        <w:t xml:space="preserve">Dado que </w:t>
      </w:r>
      <w:r>
        <w:rPr>
          <w:rFonts w:ascii="Arial" w:hAnsi="Arial"/>
          <w:sz w:val="22"/>
        </w:rPr>
        <w:t>um tipo ativo</w:t>
      </w:r>
    </w:p>
    <w:p>
      <w:r>
        <w:rPr>
          <w:rFonts w:ascii="Arial" w:hAnsi="Arial"/>
          <w:b/>
          <w:sz w:val="22"/>
        </w:rPr>
        <w:t xml:space="preserve">Quando </w:t>
      </w:r>
      <w:r>
        <w:rPr>
          <w:rFonts w:ascii="Arial" w:hAnsi="Arial"/>
          <w:sz w:val="22"/>
        </w:rPr>
        <w:t>o administrador aciona a ativação</w:t>
      </w:r>
    </w:p>
    <w:p>
      <w:r>
        <w:rPr>
          <w:rFonts w:ascii="Arial" w:hAnsi="Arial"/>
          <w:b/>
          <w:sz w:val="22"/>
        </w:rPr>
        <w:t xml:space="preserve">Então </w:t>
      </w:r>
      <w:r>
        <w:rPr>
          <w:rFonts w:ascii="Arial" w:hAnsi="Arial"/>
          <w:sz w:val="22"/>
        </w:rPr>
        <w:t>o tipo fica inativo e continua na lista quando o filtro inclui inativos</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HU.153 - MANTER TIPOS DE SERVIÇO - Versão 2.0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