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HU.154 – MANTER TIPOS DE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HU-154. Manter os tipos de imóvel reconhecidos do REGIN e a marca que tira o processo do fluxo expresso Regras evidenciadas no código: (1) drives_rule verdadeiro faz o tipo derrubar o processo do expresso para análise, conforme o comentário da rota. (2) Grafia alternativa não pode colidir com alias já usado (PropertyTypeAliasAvailable). (3) Código não muda depois do cadastro. Trocar o código seria outro tipo. (4) Desativar tira o tipo do catálogo ativo e preserva o histórico. Fluxo evidenciado: 1. A lista consulta os tipos com busca, situação, ordenação e paginação no mesmo padrão das outras listas do console (10, 15, 25 ou 50) 2. Incluir grava código, rótulo, drives_rule, situação e a lista de aliases. Tipo novo nasce ativo quando a situação não vem 3. Editar altera rótulo, drives_rule, situação e aliases. O código é imutável. drives_rule e active só mudam se vierem no envio; omitir o campo preserva o valor 4. A ativação inverte active e não exclui o registro 5. Os aliases são sincronizados: os que saem da lista são removidos um a um e os novos são criados. A normalização ocorre no model Não evidenciado no código: Exclusão física do tipo Lista fechada dos tipos do REGIN imposta por esta validação. O código é texto no padrão a-z, 0-9 e _.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tipos de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tipos de imóvel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tipos de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os tipos de imóvel reconhecidos do REGIN e a marca que tira o processo do fluxo expresso.</w:t>
      </w:r>
    </w:p>
    <w:p>
      <w:pPr>
        <w:pStyle w:val="Heading1"/>
      </w:pPr>
      <w:r>
        <w:t>HISTÓRIA DE USUÁRIO: Manter tipos de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`manter-tipos-imovel`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tipo, as grafias alternativas e se ele dirige regra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motor reconhecer o texto vindo do REGIN e encaminhar à análise quando a marca estiver ligada.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manter-tipos-imovel. Menu Regras, item Tipos de imóvel (/gestao/tipos-imovel)</w:t>
      </w:r>
    </w:p>
    <w:p>
      <w:pPr>
        <w:jc w:val="both"/>
      </w:pPr>
      <w:r>
        <w:rPr>
          <w:rFonts w:ascii="Arial" w:hAnsi="Arial"/>
          <w:sz w:val="24"/>
        </w:rPr>
        <w:t>• A gravação invalida o cache do catálogo depois do commit</w:t>
      </w:r>
    </w:p>
    <w:p>
      <w:pPr>
        <w:jc w:val="both"/>
      </w:pPr>
      <w:r>
        <w:rPr>
          <w:rFonts w:ascii="Arial" w:hAnsi="Arial"/>
          <w:sz w:val="24"/>
        </w:rPr>
        <w:t>• No cadastro, code obrigatório, até 50, padrão ^[a-z0-9_]+$, único em property_types.code</w:t>
      </w:r>
    </w:p>
    <w:p>
      <w:pPr>
        <w:jc w:val="both"/>
      </w:pPr>
      <w:r>
        <w:rPr>
          <w:rFonts w:ascii="Arial" w:hAnsi="Arial"/>
          <w:sz w:val="24"/>
        </w:rPr>
        <w:t>• label obrigatório, até 255</w:t>
      </w:r>
    </w:p>
    <w:p>
      <w:pPr>
        <w:jc w:val="both"/>
      </w:pPr>
      <w:r>
        <w:rPr>
          <w:rFonts w:ascii="Arial" w:hAnsi="Arial"/>
          <w:sz w:val="24"/>
        </w:rPr>
        <w:t>• drives_rule booleano obrigatório no cadastro e opcional na edição</w:t>
      </w:r>
    </w:p>
    <w:p>
      <w:pPr>
        <w:jc w:val="both"/>
      </w:pPr>
      <w:r>
        <w:rPr>
          <w:rFonts w:ascii="Arial" w:hAnsi="Arial"/>
          <w:sz w:val="24"/>
        </w:rPr>
        <w:t>• active booleano obrigatório no cadastro e opcional na edição</w:t>
      </w:r>
    </w:p>
    <w:p>
      <w:pPr>
        <w:jc w:val="both"/>
      </w:pPr>
      <w:r>
        <w:rPr>
          <w:rFonts w:ascii="Arial" w:hAnsi="Arial"/>
          <w:sz w:val="24"/>
        </w:rPr>
        <w:t>• aliases array presente. Cada item é string de até 255, sujeita a PropertyTypeAliasAvailable. Na edição, a regra ignora os aliases do próprio tipo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tipos de imóvel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tipos de imóvel]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Tipo que dirige regra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manter-tipos-imovel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código em minúsculas, rótulo e drives_rule verdadeiro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tipo é gravado com essa marca e o cache do catálogo é invalidado</w:t>
      </w:r>
    </w:p>
    <w:p/>
    <w:p>
      <w:r>
        <w:rPr>
          <w:rFonts w:ascii="Arial" w:hAnsi="Arial"/>
          <w:b/>
          <w:sz w:val="22"/>
        </w:rPr>
        <w:t>Cenário 2: CA-02 — Código imutável e flag omitida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tipo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rótulo e aliases sem o campo active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permanece e o tipo continua inativo</w:t>
      </w:r>
    </w:p>
    <w:p/>
    <w:p>
      <w:r>
        <w:rPr>
          <w:rFonts w:ascii="Arial" w:hAnsi="Arial"/>
          <w:b/>
          <w:sz w:val="22"/>
        </w:rPr>
        <w:t>Cenário 3: CA-03 — Alias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grafia já vinculada a outro tipo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gravá-la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PropertyTypeAliasAvailable recusa o alias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HU.154 - MANTER TIPOS DE IMÓVEL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