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HU.159 – MANTER MINUTAS E TEXTOS-PADRÃO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HU-159. Manter a biblioteca de trechos que o analista insere no parecer, com versão incrementada quando o conteúdo muda Regras evidenciadas no código: (1) A versão sobe somente quando o conteúdo muda. (2) Não há exclusão. Inativar preserva o trecho. (3) A permissão desta tela é a mesma dos parâmetros. O controller deixa registrada a pendência de a coordenação da SEDUR exigir permissão própria. Fluxo evidenciado: 1. A lista busca no conteúdo, filtra por categoria e por situação, ordena por categoria ou versão e pagina em 10, 15, 25 ou 50 (padrão 15). Cada item sai pelo StandardTextResource 2. Incluir grava categoria, conteúdo e situação, com versão 1. Texto novo nasce ativo quando a situação não vem 3. Editar grava os mesmos campos. Se o conteúdo difere do armazenado, a versão soma um. Mudar só categoria ou situação mantém a versão 4. A ativação inverte active. Não há exclusão. Texto inativo sai da biblioteca oferecida ao analista e o histórico da versão permanece 5. Criar, atualizar e ativar são auditados no log textos-padrao Não evidenciado no código: Exclusão física do texto Permissão exclusiva desta biblioteca, distinta de manter-parametros A inserção do trecho no parecer. Esta HU cobre o cadastro.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minutas e textos-padrão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minutas e textos-padrão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minutas e textos-padrão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a biblioteca de trechos que o analista insere no parecer, com versão incrementada quando o conteúdo muda.</w:t>
      </w:r>
    </w:p>
    <w:p>
      <w:pPr>
        <w:pStyle w:val="Heading1"/>
      </w:pPr>
      <w:r>
        <w:t>HISTÓRIA DE USUÁRIO: Manter minutas e textos-padrão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`manter-parametros`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cadastrar, corrigir e desativar textos-padrão por categoria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usar trechos pré-aprovados e a versão registrar qual texto mudou.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manutenção exige manter-parametros. Menu Configuração, item Minutas e textos-padrão (/gestao/textos-padrao)</w:t>
      </w:r>
    </w:p>
    <w:p>
      <w:pPr>
        <w:jc w:val="both"/>
      </w:pPr>
      <w:r>
        <w:rPr>
          <w:rFonts w:ascii="Arial" w:hAnsi="Arial"/>
          <w:sz w:val="24"/>
        </w:rPr>
        <w:t>• O controller registra que a leitura da lista ativa no parecer fica sob analisar-processos, em outro fluxo</w:t>
      </w:r>
    </w:p>
    <w:p>
      <w:pPr>
        <w:jc w:val="both"/>
      </w:pPr>
      <w:r>
        <w:rPr>
          <w:rFonts w:ascii="Arial" w:hAnsi="Arial"/>
          <w:sz w:val="24"/>
        </w:rPr>
        <w:t>• category obrigatória, até 100 caracteres, com trim</w:t>
      </w:r>
    </w:p>
    <w:p>
      <w:pPr>
        <w:jc w:val="both"/>
      </w:pPr>
      <w:r>
        <w:rPr>
          <w:rFonts w:ascii="Arial" w:hAnsi="Arial"/>
          <w:sz w:val="24"/>
        </w:rPr>
        <w:t>• content obrigatório</w:t>
      </w:r>
    </w:p>
    <w:p>
      <w:pPr>
        <w:jc w:val="both"/>
      </w:pPr>
      <w:r>
        <w:rPr>
          <w:rFonts w:ascii="Arial" w:hAnsi="Arial"/>
          <w:sz w:val="24"/>
        </w:rPr>
        <w:t>• active booleano obrigatório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minutas e textos-padrão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minutas e textos-padrão]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Primeira versão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manter-parametros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categoria e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é gravado com versão 1</w:t>
      </w:r>
    </w:p>
    <w:p/>
    <w:p>
      <w:r>
        <w:rPr>
          <w:rFonts w:ascii="Arial" w:hAnsi="Arial"/>
          <w:b/>
          <w:sz w:val="22"/>
        </w:rPr>
        <w:t>Cenário 2: CA-02 — Conteúdo novo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texto na versão 1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muda o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passa a 2 e a auditoria marca que o conteúdo mudou</w:t>
      </w:r>
    </w:p>
    <w:p/>
    <w:p>
      <w:r>
        <w:rPr>
          <w:rFonts w:ascii="Arial" w:hAnsi="Arial"/>
          <w:b/>
          <w:sz w:val="22"/>
        </w:rPr>
        <w:t>Cenário 3: CA-03 — Só a categoria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texto na versão 2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muda a categoria e mantém o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continua 2</w:t>
      </w:r>
    </w:p>
    <w:p/>
    <w:p>
      <w:r>
        <w:rPr>
          <w:rFonts w:ascii="Arial" w:hAnsi="Arial"/>
          <w:b/>
          <w:sz w:val="22"/>
        </w:rPr>
        <w:t>Cenário 4: CA-04 —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texto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aciona a ativação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fica inativo e não é apagado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HU.159 - MANTER MINUTAS E TEXTOS-PADRÃO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