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HU.163 – CONFIGURAR PROVEDORES DE 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HU-163. Manter provedores de IA, com chave criptografada, teste de conexão real e uma configuração padrão Regras evidenciadas no código: (1) Provedores aceitos: openai, anthropic, gemini, azure, compativel. (2) Capacidades aceitas: text, vision, embeddings. (3) Configuração ativa no cadastro exige chave. (4) A URL base recusada pelo guarda não é gravada. (5) Chave em branco na edição mantém a credencial. Fluxo evidenciado: 1. A lista ordena a padrão primeiro. Incluir e editar gravam nome, provedor, capacidade, URL base, chave, modelo, temperatura, máximo de tokens, timeout, situação e marca de padrão. set de padrão segue o mesmo desenho do servidor de e-mail: is_default verdadeiro chama a marcação de padrão 2. Na edição, chave vazia não substitui a atual 3. Ativar uma configuração sem chave é recusado com «Informe a chave de API para ativar a configuração.» 4. Testar chama AiProviderClient::testConnection. Falha volta em ai_connection. Sucesso e falha são auditados 5. Excluir remove o registro 6. A configuração gravada é lida por AiConfigResolver e por RunAiAgentJob. O teste e a URL passam por AiBaseUrlGuard (HTTPS e allowlist) Não evidenciado no código: Provedor ou capacidade fora das listas do Form Request Reexibição da chave em claro.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Configurar provedores de 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Configurar provedores de 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configurar provedores de 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provedores de IA, com chave criptografada, teste de conexão real e uma configuração padrão.</w:t>
      </w:r>
    </w:p>
    <w:p>
      <w:pPr>
        <w:pStyle w:val="Heading1"/>
      </w:pPr>
      <w:r>
        <w:t>HISTÓRIA DE USUÁRIO: Configurar provedores de 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`manter-config-ia`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provedor, testar a URL e ativá-lo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os recursos de IA usarem a configuração padrão ativa.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manter-config-ia. Menu Configuração, item Configuração de IA (/gestao/config-ia)</w:t>
      </w:r>
    </w:p>
    <w:p>
      <w:pPr>
        <w:jc w:val="both"/>
      </w:pPr>
      <w:r>
        <w:rPr>
          <w:rFonts w:ascii="Arial" w:hAnsi="Arial"/>
          <w:sz w:val="24"/>
        </w:rPr>
        <w:t>• O teste usa o throttle ai-connection-test</w:t>
      </w:r>
    </w:p>
    <w:p>
      <w:pPr>
        <w:jc w:val="both"/>
      </w:pPr>
      <w:r>
        <w:rPr>
          <w:rFonts w:ascii="Arial" w:hAnsi="Arial"/>
          <w:sz w:val="24"/>
        </w:rPr>
        <w:t>• A chave não volta na lista: o campo exibido é masked_api_key. A auditoria não inclui a chave</w:t>
      </w:r>
    </w:p>
    <w:p>
      <w:pPr>
        <w:jc w:val="both"/>
      </w:pPr>
      <w:r>
        <w:rPr>
          <w:rFonts w:ascii="Arial" w:hAnsi="Arial"/>
          <w:sz w:val="24"/>
        </w:rPr>
        <w:t>• name e model obrigatórios, até 255</w:t>
      </w:r>
    </w:p>
    <w:p>
      <w:pPr>
        <w:jc w:val="both"/>
      </w:pPr>
      <w:r>
        <w:rPr>
          <w:rFonts w:ascii="Arial" w:hAnsi="Arial"/>
          <w:sz w:val="24"/>
        </w:rPr>
        <w:t>• provider e capability nos conjuntos acima</w:t>
      </w:r>
    </w:p>
    <w:p>
      <w:pPr>
        <w:jc w:val="both"/>
      </w:pPr>
      <w:r>
        <w:rPr>
          <w:rFonts w:ascii="Arial" w:hAnsi="Arial"/>
          <w:sz w:val="24"/>
        </w:rPr>
        <w:t>• base_url obrigatória, até 255, validada por AiBaseUrlGuard</w:t>
      </w:r>
    </w:p>
    <w:p>
      <w:pPr>
        <w:jc w:val="both"/>
      </w:pPr>
      <w:r>
        <w:rPr>
          <w:rFonts w:ascii="Arial" w:hAnsi="Arial"/>
          <w:sz w:val="24"/>
        </w:rPr>
        <w:t>• api_key até 500; no cadastro, obrigatória se active é verdadeiro</w:t>
      </w:r>
    </w:p>
    <w:p>
      <w:pPr>
        <w:jc w:val="both"/>
      </w:pPr>
      <w:r>
        <w:rPr>
          <w:rFonts w:ascii="Arial" w:hAnsi="Arial"/>
          <w:sz w:val="24"/>
        </w:rPr>
        <w:t>• temperature numérica de 0 a 2</w:t>
      </w:r>
    </w:p>
    <w:p>
      <w:pPr>
        <w:jc w:val="both"/>
      </w:pPr>
      <w:r>
        <w:rPr>
          <w:rFonts w:ascii="Arial" w:hAnsi="Arial"/>
          <w:sz w:val="24"/>
        </w:rPr>
        <w:t>• max_tokens inteiro de 1 a 1.000.000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Configurar provedores de 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Configurar provedores de 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Ativa sem chave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cadastro com active verdadeiro e chave vazia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validação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mensagem pede a chave de API para ativar a configuração</w:t>
      </w:r>
    </w:p>
    <w:p/>
    <w:p>
      <w:r>
        <w:rPr>
          <w:rFonts w:ascii="Arial" w:hAnsi="Arial"/>
          <w:b/>
          <w:sz w:val="22"/>
        </w:rPr>
        <w:t>Cenário 2: CA-02 — URL recusada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URL que AiBaseUrlGuard rejeita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configuração não é gravada</w:t>
      </w:r>
    </w:p>
    <w:p/>
    <w:p>
      <w:r>
        <w:rPr>
          <w:rFonts w:ascii="Arial" w:hAnsi="Arial"/>
          <w:b/>
          <w:sz w:val="22"/>
        </w:rPr>
        <w:t>Cenário 3: CA-03 — Teste auditado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configuração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testa a conexão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cliente HTTP do provedor é chamado e o log config-ia registra sucesso ou falha, sem a chave</w:t>
      </w:r>
    </w:p>
    <w:p/>
    <w:p>
      <w:r>
        <w:rPr>
          <w:rFonts w:ascii="Arial" w:hAnsi="Arial"/>
          <w:b/>
          <w:sz w:val="22"/>
        </w:rPr>
        <w:t>Cenário 4: CA-04 — Chave preservada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configuração que já tem chave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a chave vazia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chave armazenada permanece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HU.163 - CONFIGURAR PROVEDORES DE 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