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HU.164 – MANTER GATILHOS DE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HU-164. Ajustar título, motivo e situação dos gatilhos que já existem. O código do gatilho não nasce nesta tela Regras evidenciadas no código: (1) Não há criação nem exclusão. Código novo entra por enum, motor e seed. (2) O enum TipoGatilho declara enquadramento_ausente, zeis_especial, dados_do_processo, regra_territorial, localizacao_divergente e zona_empate. O comentário do controller ainda fala em três gatilhos conhecidos. A tela lista o que estiver na tabela, não um número fixo escrito na interface. (3) Desligar o gatilho é a ação que muda o roteamento. O código em si não é editável. Fluxo evidenciado: 1. A lista não pagina. Ordena por codigo e devolve id, código, rótulo do código, título, motivo e ativo de cada linha de risk_triggers 2. Atualizar grava título e motivo. Código e categoria enviados são ignorados 3. A ativação inverte ativo e não exclui a linha. Gatilho reativado informa que os processos voltam a ser encaminhados à análise técnica. Gatilho desativado informa que os processos passam a concluir no fluxo expresso 4. A alteração é auditada pelo HasAuditoria do model. O controller declara que o motor avalia o escopo ativos() Não evidenciado no código: Cadastro ou exclusão de gatilho pela tela Alteração do código ou da categoria A ficha de grau municipal do CNAE. Isso permanece na HU-020. Divergência em relação à redação anterior: Não havia HU. A capacidade existia no código sem rastreabilidade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gatilhos de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gatilhos de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gatilhos de risco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Ajustar título, motivo e situação dos gatilhos que já existem. O código do gatilho não nasce nesta tela.</w:t>
      </w:r>
    </w:p>
    <w:p>
      <w:pPr>
        <w:pStyle w:val="Heading1"/>
      </w:pPr>
      <w:r>
        <w:t>HISTÓRIA DE USUÁRIO: Manter gatilhos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`manter-gatilhos-risco`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reescrever o motivo do gatilho e ligá-lo ou desligá-lo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motor deixar de aplicar o gatilho inativo no roteamento do expresso.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tela exige manter-gatilhos-risco. Menu Regras, item Gatilhos de risco (/gestao/gatilhos-risco)</w:t>
      </w:r>
    </w:p>
    <w:p>
      <w:pPr>
        <w:jc w:val="both"/>
      </w:pPr>
      <w:r>
        <w:rPr>
          <w:rFonts w:ascii="Arial" w:hAnsi="Arial"/>
          <w:sz w:val="24"/>
        </w:rPr>
        <w:t>• O grau municipal do CNAE é a HU-020, na ficha do CNAE, com outra permissão</w:t>
      </w:r>
    </w:p>
    <w:p>
      <w:pPr>
        <w:jc w:val="both"/>
      </w:pPr>
      <w:r>
        <w:rPr>
          <w:rFonts w:ascii="Arial" w:hAnsi="Arial"/>
          <w:sz w:val="24"/>
        </w:rPr>
        <w:t>• titulo obrigatório, até 255</w:t>
      </w:r>
    </w:p>
    <w:p>
      <w:pPr>
        <w:jc w:val="both"/>
      </w:pPr>
      <w:r>
        <w:rPr>
          <w:rFonts w:ascii="Arial" w:hAnsi="Arial"/>
          <w:sz w:val="24"/>
        </w:rPr>
        <w:t>• motivo obrigatório, até 1000</w:t>
      </w:r>
    </w:p>
    <w:p>
      <w:pPr>
        <w:jc w:val="both"/>
      </w:pPr>
      <w:r>
        <w:rPr>
          <w:rFonts w:ascii="Arial" w:hAnsi="Arial"/>
          <w:sz w:val="24"/>
        </w:rPr>
        <w:t>• Código e categoria não têm regra e não chegam a validated()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gatilhos de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gatilhos de risco]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Motivo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gatilho já semeado e um usuário com manter-gatilhos-risco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grava título e motivo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código permanece e título e motivo passam a ser os enviados</w:t>
      </w:r>
    </w:p>
    <w:p/>
    <w:p>
      <w:r>
        <w:rPr>
          <w:rFonts w:ascii="Arial" w:hAnsi="Arial"/>
          <w:b/>
          <w:sz w:val="22"/>
        </w:rPr>
        <w:t>Cenário 2: CA-02 — Desligar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gatilho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aciona a ativação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ativo fica falso, o registro continua na lista e a mensagem informa o efeito no fluxo expresso</w:t>
      </w:r>
    </w:p>
    <w:p/>
    <w:p>
      <w:r>
        <w:rPr>
          <w:rFonts w:ascii="Arial" w:hAnsi="Arial"/>
          <w:b/>
          <w:sz w:val="22"/>
        </w:rPr>
        <w:t>Cenário 3: CA-03 — Sem código novo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as rotas gatilhos-risco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procura store ou destroy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só existem listagem, atualização e ativação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HU.164 - MANTER GATILHOS DE RISCO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