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HU.165 – MANTER ZONAS DO MOTOR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HU-165. Manter as zonas urbanísticas que o Quadro 10 precisa citar para ser publicado Regras evidenciadas no código: (1) O código é a chave citada pelas linhas do Quadro 10. Mudar o código é desativar a zona e cadastrar outra. (2) Zona inativa não apaga histórico do quadro vigente. (3) A publicação do rascunho do Quadro 10 exige que toda zona referenciada exista e esteja ativa (HU-016). Fluxo evidenciado: 1. A lista devolve todas as zonas, ordenadas por código, sem paginação. Cada item traz código, nome, macrozona e situação 2. Incluir grava código, nome, macrozona e situação. Zona nova nasce ativa quando a situação não vem. Macrozona em branco vira nulo 3. Editar altera nome, macrozona e, se vier, a situação. O código enviado é ignorado. Omitir ativo preserva a situação atual 4. A ativação inverte ativo e não exclui. Zona desativada continua nos quadros vigentes que já a citam. Publicação nova de rascunho do Quadro 10 que a cite é bloqueada. A mensagem da tela diz isso Não evidenciado no código: Exclusão física da zona Alteração do código depois do cadastro Desenho ou importação da geometria da zona nesta tela. O cadastro é código, nome e macrozona.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zonas do motor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zonas do motor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zonas do motor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as zonas urbanísticas que o Quadro 10 precisa citar para ser publicado.</w:t>
      </w:r>
    </w:p>
    <w:p>
      <w:pPr>
        <w:pStyle w:val="Heading1"/>
      </w:pPr>
      <w:r>
        <w:t>HISTÓRIA DE USUÁRIO: Manter zonas do motor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com `manter-louos`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a zona e desativá-la quando deixar de valer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código digitado errado no Quadro 10 ser bloqueado na publicação.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manter-louos. Menu Regras, item Zonas (/gestao/louos/zonas)</w:t>
      </w:r>
    </w:p>
    <w:p>
      <w:pPr>
        <w:jc w:val="both"/>
      </w:pPr>
      <w:r>
        <w:rPr>
          <w:rFonts w:ascii="Arial" w:hAnsi="Arial"/>
          <w:sz w:val="24"/>
        </w:rPr>
        <w:t>• Não há permissão separada de zona</w:t>
      </w:r>
    </w:p>
    <w:p>
      <w:pPr>
        <w:jc w:val="both"/>
      </w:pPr>
      <w:r>
        <w:rPr>
          <w:rFonts w:ascii="Arial" w:hAnsi="Arial"/>
          <w:sz w:val="24"/>
        </w:rPr>
        <w:t>• No cadastro, codigo obrigatório, até 50, único em zonas.codigo, com trim</w:t>
      </w:r>
    </w:p>
    <w:p>
      <w:pPr>
        <w:jc w:val="both"/>
      </w:pPr>
      <w:r>
        <w:rPr>
          <w:rFonts w:ascii="Arial" w:hAnsi="Arial"/>
          <w:sz w:val="24"/>
        </w:rPr>
        <w:t>• nome obrigatório, até 255</w:t>
      </w:r>
    </w:p>
    <w:p>
      <w:pPr>
        <w:jc w:val="both"/>
      </w:pPr>
      <w:r>
        <w:rPr>
          <w:rFonts w:ascii="Arial" w:hAnsi="Arial"/>
          <w:sz w:val="24"/>
        </w:rPr>
        <w:t>• macrozona opcional, até 100</w:t>
      </w:r>
    </w:p>
    <w:p>
      <w:pPr>
        <w:jc w:val="both"/>
      </w:pPr>
      <w:r>
        <w:rPr>
          <w:rFonts w:ascii="Arial" w:hAnsi="Arial"/>
          <w:sz w:val="24"/>
        </w:rPr>
        <w:t>• ativo booleano obrigatório no cadastro e opcional na edição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zonas do motor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zonas do motor]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Cadastro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mantenedor com manter-louos e um código ainda não usado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nome e macrozona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nasce ativa se a situação não for enviada</w:t>
      </w:r>
    </w:p>
    <w:p/>
    <w:p>
      <w:r>
        <w:rPr>
          <w:rFonts w:ascii="Arial" w:hAnsi="Arial"/>
          <w:b/>
          <w:sz w:val="22"/>
        </w:rPr>
        <w:t>Cenário 2: CA-02 — Código imutável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zona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outro código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armazenado permanece</w:t>
      </w:r>
    </w:p>
    <w:p/>
    <w:p>
      <w:r>
        <w:rPr>
          <w:rFonts w:ascii="Arial" w:hAnsi="Arial"/>
          <w:b/>
          <w:sz w:val="22"/>
        </w:rPr>
        <w:t>Cenário 3: CA-03 — Desativar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zona ativa citada num quadro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desativa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fica inativa, o quadro vigente não é alterado e a mensagem informa que publicação nova do Quadro 10 que a cite será bloqueada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HU.165 - MANTER ZONAS DO MOTOR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