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HU.166 – MANTER VIAS DO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HU-166. Manter as classes de via que o Quadro 11A precisa citar para ser publicado Regras evidenciadas no código: (1) O código é a chave citada pelas linhas do Quadro 11A. (2) Via inativa não reescreve o quadro vigente. (3) A publicação do rascunho do Quadro 11A exige classe existente e ativa (HU-018). Fluxo evidenciado: 1. A lista devolve todas as vias, ordenadas por código, sem paginação. Cada item traz código, nome e situação 2. Incluir grava código, nome e situação. Via nova nasce ativa quando a situação não vem 3. Editar altera o nome e, se vier, a situação. O código enviado é ignorado. Omitir ativo preserva a situação 4. A ativação inverte ativo e não exclui. Quadros vigentes que já citam a classe permanecem. Publicação nova de rascunho do Quadro 11A que cite via inativa é bloqueada. A mensagem da tela diz isso Não evidenciado no código: Exclusão física da via Alteração do código depois do cadastro Logradouro geográfico ou CODLOG neste cadastro. A tela guarda código e nome da classe de via do Quadro 11A.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vias do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vias do motor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vias do motor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as classes de via que o Quadro 11A precisa citar para ser publicado.</w:t>
      </w:r>
    </w:p>
    <w:p>
      <w:pPr>
        <w:pStyle w:val="Heading1"/>
      </w:pPr>
      <w:r>
        <w:t>HISTÓRIA DE USUÁRIO: Manter vias do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com `manter-louos`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a classe de via e desativá-la quando deixar de valer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publicação do Quadro 11A recusar classe inexistente ou inativa.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manter-louos. Menu Regras, item Vias (/gestao/louos/vias)</w:t>
      </w:r>
    </w:p>
    <w:p>
      <w:pPr>
        <w:jc w:val="both"/>
      </w:pPr>
      <w:r>
        <w:rPr>
          <w:rFonts w:ascii="Arial" w:hAnsi="Arial"/>
          <w:sz w:val="24"/>
        </w:rPr>
        <w:t>• No cadastro, codigo obrigatório, até 50, único em vias.codigo, com trim</w:t>
      </w:r>
    </w:p>
    <w:p>
      <w:pPr>
        <w:jc w:val="both"/>
      </w:pPr>
      <w:r>
        <w:rPr>
          <w:rFonts w:ascii="Arial" w:hAnsi="Arial"/>
          <w:sz w:val="24"/>
        </w:rPr>
        <w:t>• nome obrigatório, até 255</w:t>
      </w:r>
    </w:p>
    <w:p>
      <w:pPr>
        <w:jc w:val="both"/>
      </w:pPr>
      <w:r>
        <w:rPr>
          <w:rFonts w:ascii="Arial" w:hAnsi="Arial"/>
          <w:sz w:val="24"/>
        </w:rPr>
        <w:t>• ativo booleano obrigatório no cadastro e opcional na edição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vias do motor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vias do motor]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mantenedor com manter-louos e um código ainda não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nasce ativa se a situação não for enviada</w:t>
      </w:r>
    </w:p>
    <w:p/>
    <w:p>
      <w:r>
        <w:rPr>
          <w:rFonts w:ascii="Arial" w:hAnsi="Arial"/>
          <w:b/>
          <w:sz w:val="22"/>
        </w:rPr>
        <w:t>Cenário 2: CA-02 — Código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via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outro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armazenado permanece</w:t>
      </w:r>
    </w:p>
    <w:p/>
    <w:p>
      <w:r>
        <w:rPr>
          <w:rFonts w:ascii="Arial" w:hAnsi="Arial"/>
          <w:b/>
          <w:sz w:val="22"/>
        </w:rPr>
        <w:t>Cenário 3: CA-03 —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via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fica inativa e a mensagem informa que publicação nova do Quadro 11A que a cite será bloqueada, com os quadros vigentes preservados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HU.166 - MANTER VIAS DO MOTOR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