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HU.168 – RENOVAR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pelo código-fonte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Catálogo Viabiliza: HU-168. Protocolar a renovação de uma viabilidade locacional provisória já deferida no portal, encaminhando o processo à análise semi-expressa Regras evidenciadas no código: (1) Sem decisão deferida ou sem número de TVL: "Não há viabilidade vinculada a este CNPJ.". (2) TVL que não seja provisório: "Viabilidade definitiva não pode ser renovada.". (3) Renovação da mesma origem já deferida dentro de renovacao.intervalo_meses (padrão 3, mínimo 1): "Esta viabilidade foi renovada há menos de {meses} meses.". (4) Já existe renovação dessa origem em protocolada, em_analise ou em_pendencia: "Para cadastrar novo processo de renovação, aguarde a conclusão da análise ou solicite desistência do processo em análise.". (5) Tipo de serviço renovacao-tvl ausente: "O tipo de serviço Renovação de viabilidade locacional não está cadastrado.". (6) Declaração obrigatória vigente sem aceite: "Marque todas as declarações de responsabilidade para protocolar a renovação.". (7) Endereço e atividades da origem não são editáveis neste assistente. (8) Setor de triagem (analise.setor_triagem_id) é aplicado se o setor existir e estiver ativo. Sem parâmetro ou com setor inativo, o processo segue sem caixa. Fluxo evidenciado: 1. GET /portal/renovacao lista solicitações deferidas das empresas do usuário efetivo que tenham número de TVL na decisão. Para cada uma, RenovacaoElegibilidadeService informa se pode renovar e o motivo quando não pode 2. Opcionalmente, POST /portal/renovacao/consultar-cnpj consulta o CNPJ na SEDUR (SedurContatoClient) e devolve razão social, nome fantasia, telefone, endereço e as viabilidades deferidas com TVL desse CNPJ que pertençam às empresas do usuário 3. GET /portal/renovacao/{origem} só abre o assistente se a origem for elegível. Se não for, volta à lista com o motivo em erro 4. O assistente tem quatro passos: confirmar a viabilidade (número, empresa, CNPJ, endereço, atividades, validade e tipo, somente leitura), contato, declarações vigentes do tipo de serviço renovacao-tvl e revisão 5. POST /portal/renovacao/{origem} protocola. Copia área, inscrição, endereço e polígono da origem, anexa os mesmos CNAEs, grava o aceite das declarações obrigatórias, gera número de protocolo, passa a protocolada e em seguida a em_analise, com categoria semi_expresso 6. Fora da transação, completa o território como no protocolo comum e envia à análise. Não há deferimento automático 7. Redireciona para o detalhe da solicitação criada, com "Renovação protocolada. O processo foi encaminhado para análise." 8. E-mail e telefone informados, quando preenchidos, atualizam a empresa. O celular vai só para a auditoria solicitacoes / renovacao_protocolada Não evidenciado no código: Renovação de TVL cuja solicitação não esteja deferida neste sistema com número de TVL Deferimento automático da renovação Edição de endereço, área ou CNAEs no assistente Filtro por origem SIGS na montagem da lista. A tela informa que a viabilidade do SIGS continua no SIGS. A lista reúne solicitações deferidas, com número de TVL, das empresas do usuário efetivo. Divergência em relação à redação anterior: Não havia HU anterior desta renovação na pasta do EP08. O fluxo está no RenovacaoController e nos serviços de elegibilidade e protocolo, como jornada do portal de solicitação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Renovar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Renovar viabilidade</w:t>
      </w:r>
    </w:p>
    <w:p>
      <w:r>
        <w:rPr>
          <w:rFonts w:ascii="Arial" w:hAnsi="Arial"/>
          <w:sz w:val="22"/>
        </w:rPr>
        <w:t xml:space="preserve">  COMPORTAMENTO ESPERADO TELA 1</w:t>
      </w:r>
    </w:p>
    <w:p>
      <w:r>
        <w:rPr>
          <w:rFonts w:ascii="Arial" w:hAnsi="Arial"/>
          <w:sz w:val="22"/>
        </w:rPr>
        <w:t>APROVAÇÃO DO REQUISITO</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renovar viabilidade</w:t>
      </w:r>
      <w:r>
        <w:rPr>
          <w:rFonts w:ascii="Arial" w:hAnsi="Arial"/>
          <w:b/>
          <w:sz w:val="24"/>
        </w:rPr>
        <w:t xml:space="preserve">, de modo que </w:t>
      </w:r>
      <w:r>
        <w:rPr>
          <w:rFonts w:ascii="Arial" w:hAnsi="Arial"/>
          <w:b w:val="0"/>
          <w:sz w:val="24"/>
        </w:rPr>
        <w:t>Protocolar a renovação de uma viabilidade locacional provisória já deferida no portal, encaminhando o processo à análise semi-expressa.</w:t>
      </w:r>
    </w:p>
    <w:p>
      <w:pPr>
        <w:pStyle w:val="Heading1"/>
      </w:pPr>
      <w:r>
        <w:t>HISTÓRIA DE USUÁRIO: Renovar viabilidade</w:t>
      </w:r>
    </w:p>
    <w:p>
      <w:pPr>
        <w:jc w:val="both"/>
      </w:pPr>
      <w:r>
        <w:rPr>
          <w:rFonts w:ascii="Arial" w:hAnsi="Arial"/>
          <w:b/>
          <w:sz w:val="24"/>
        </w:rPr>
        <w:t xml:space="preserve">Como </w:t>
      </w:r>
      <w:r>
        <w:rPr>
          <w:rFonts w:ascii="Arial" w:hAnsi="Arial"/>
          <w:b w:val="0"/>
          <w:sz w:val="24"/>
        </w:rPr>
        <w:t>cidadão com vínculo ativo com a empresa</w:t>
      </w:r>
      <w:r>
        <w:rPr>
          <w:rFonts w:ascii="Arial" w:hAnsi="Arial"/>
          <w:b/>
          <w:sz w:val="24"/>
        </w:rPr>
        <w:t xml:space="preserve"> quero </w:t>
      </w:r>
      <w:r>
        <w:rPr>
          <w:rFonts w:ascii="Arial" w:hAnsi="Arial"/>
          <w:b w:val="0"/>
          <w:sz w:val="24"/>
        </w:rPr>
        <w:t>renovar uma viabilidade provisória deferida neste portal</w:t>
      </w:r>
      <w:r>
        <w:rPr>
          <w:rFonts w:ascii="Arial" w:hAnsi="Arial"/>
          <w:b/>
          <w:sz w:val="24"/>
        </w:rPr>
        <w:t xml:space="preserve">, de modo que </w:t>
      </w:r>
      <w:r>
        <w:rPr>
          <w:rFonts w:ascii="Arial" w:hAnsi="Arial"/>
          <w:b w:val="0"/>
          <w:sz w:val="24"/>
        </w:rPr>
        <w:t>protocolar a prorrogação sem reeditar endereço e atividades.</w:t>
      </w:r>
    </w:p>
    <w:p>
      <w:pPr>
        <w:pStyle w:val="Heading1"/>
      </w:pPr>
      <w:r>
        <w:t>PRÉ-REQUISITOS</w:t>
      </w:r>
    </w:p>
    <w:p>
      <w:pPr>
        <w:jc w:val="both"/>
      </w:pPr>
      <w:r>
        <w:rPr>
          <w:rFonts w:ascii="Arial" w:hAnsi="Arial"/>
          <w:sz w:val="24"/>
        </w:rPr>
        <w:t>• Portal autenticado, e-mail verificado, termo LGPD aceito e middleware portal.solicitacao</w:t>
      </w:r>
    </w:p>
    <w:p>
      <w:pPr>
        <w:jc w:val="both"/>
      </w:pPr>
      <w:r>
        <w:rPr>
          <w:rFonts w:ascii="Arial" w:hAnsi="Arial"/>
          <w:sz w:val="24"/>
        </w:rPr>
        <w:t>• Com viabiliza.features.portal_solicitacao desligado, a jornada redireciona ao painel (ou responde 503 em JSON) com "O serviço de solicitação e renovação de viabilidade está temporariamente indisponível. Tente novamente mais tarde."</w:t>
      </w:r>
    </w:p>
    <w:p>
      <w:pPr>
        <w:jc w:val="both"/>
      </w:pPr>
      <w:r>
        <w:rPr>
          <w:rFonts w:ascii="Arial" w:hAnsi="Arial"/>
          <w:sz w:val="24"/>
        </w:rPr>
        <w:t>• A empresa da solicitação de origem precisa estar entre as empresas com vínculo ativo do usuário efetivo. Caso contrário, 403</w:t>
      </w:r>
    </w:p>
    <w:p>
      <w:pPr>
        <w:jc w:val="both"/>
      </w:pPr>
      <w:r>
        <w:rPr>
          <w:rFonts w:ascii="Arial" w:hAnsi="Arial"/>
          <w:sz w:val="24"/>
        </w:rPr>
        <w:t>• Em representação, lista, consulta e protocolo usam o representado</w:t>
      </w:r>
    </w:p>
    <w:p>
      <w:pPr>
        <w:jc w:val="both"/>
      </w:pPr>
      <w:r>
        <w:rPr>
          <w:rFonts w:ascii="Arial" w:hAnsi="Arial"/>
          <w:sz w:val="24"/>
        </w:rPr>
        <w:t>• Menu "Renovar viabilidade" (/portal/renovacao) e card público na landing. A rota em si exige login</w:t>
      </w:r>
    </w:p>
    <w:p>
      <w:pPr>
        <w:jc w:val="both"/>
      </w:pPr>
      <w:r>
        <w:rPr>
          <w:rFonts w:ascii="Arial" w:hAnsi="Arial"/>
          <w:sz w:val="24"/>
        </w:rPr>
        <w:t>• email: opcional, e-mail, até 255</w:t>
      </w:r>
    </w:p>
    <w:p>
      <w:pPr>
        <w:jc w:val="both"/>
      </w:pPr>
      <w:r>
        <w:rPr>
          <w:rFonts w:ascii="Arial" w:hAnsi="Arial"/>
          <w:sz w:val="24"/>
        </w:rPr>
        <w:t>• phone: obrigatório, texto, até 20. Mensagem: "Informe o telefone."</w:t>
      </w:r>
    </w:p>
    <w:p>
      <w:pPr>
        <w:jc w:val="both"/>
      </w:pPr>
      <w:r>
        <w:rPr>
          <w:rFonts w:ascii="Arial" w:hAnsi="Arial"/>
          <w:sz w:val="24"/>
        </w:rPr>
        <w:t>• mobile: opcional, texto, até 20</w:t>
      </w:r>
    </w:p>
    <w:p>
      <w:pPr>
        <w:jc w:val="both"/>
      </w:pPr>
      <w:r>
        <w:rPr>
          <w:rFonts w:ascii="Arial" w:hAnsi="Arial"/>
          <w:sz w:val="24"/>
        </w:rPr>
        <w:t>• declaration_ids: presente, array de inteiros</w:t>
      </w:r>
    </w:p>
    <w:p>
      <w:pPr>
        <w:jc w:val="both"/>
      </w:pPr>
      <w:r>
        <w:rPr>
          <w:rFonts w:ascii="Arial" w:hAnsi="Arial"/>
          <w:sz w:val="24"/>
        </w:rPr>
        <w:t>• ProtocolarRenovacaoRequest:</w:t>
      </w:r>
    </w:p>
    <w:p>
      <w:pPr>
        <w:jc w:val="both"/>
      </w:pPr>
      <w:r>
        <w:rPr>
          <w:rFonts w:ascii="Arial" w:hAnsi="Arial"/>
          <w:sz w:val="24"/>
        </w:rPr>
        <w:t>• Consulta de CNPJ na renovação: 14 dígitos; fora disso, 422 "Informe um CNPJ numérico de 14 dígitos." CNPJ ausente na SEDUR: 404. SEDUR indisponível: 503</w:t>
      </w:r>
    </w:p>
    <w:p>
      <w:pPr>
        <w:pStyle w:val="Heading1"/>
      </w:pPr>
      <w:r>
        <w:t>DEPENDÊNCIAS</w:t>
      </w:r>
    </w:p>
    <w:p>
      <w:r>
        <w:rPr>
          <w:b/>
          <w:sz w:val="24"/>
        </w:rPr>
        <w:t>Passadas</w:t>
      </w:r>
    </w:p>
    <w:p>
      <w:pPr>
        <w:jc w:val="both"/>
      </w:pPr>
      <w:r>
        <w:rPr>
          <w:rFonts w:ascii="Arial" w:hAnsi="Arial"/>
          <w:sz w:val="24"/>
        </w:rPr>
        <w:t>• Nenhuma além do que o código desta história já exige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Renovar viabilidade</w:t>
      </w:r>
    </w:p>
    <w:p>
      <w:r>
        <w:rPr>
          <w:b/>
          <w:sz w:val="22"/>
        </w:rPr>
        <w:t xml:space="preserve">Caminho no menu: </w:t>
      </w:r>
      <w:r>
        <w:rPr>
          <w:sz w:val="22"/>
        </w:rPr>
        <w:t>Conforme a permissão e a rota descritas nos pré-requisitos</w:t>
      </w:r>
    </w:p>
    <w:p/>
    <w:p>
      <w:pPr>
        <w:jc w:val="center"/>
      </w:pPr>
      <w:r>
        <w:rPr>
          <w:i/>
          <w:color w:val="999999"/>
          <w:sz w:val="24"/>
        </w:rPr>
        <w:t>[INSERIR PRINT DA TELA: Renovar viabilidade]</w:t>
      </w:r>
    </w:p>
    <w:p/>
    <w:p>
      <w:pPr>
        <w:pStyle w:val="Heading3"/>
      </w:pPr>
      <w:r>
        <w:t>COMPORTAMENTO ESPERADO TELA 1</w:t>
      </w:r>
    </w:p>
    <w:p>
      <w:r>
        <w:rPr>
          <w:rFonts w:ascii="Arial" w:hAnsi="Arial"/>
          <w:b/>
          <w:sz w:val="22"/>
        </w:rPr>
        <w:t>Cenário 1: CA-01 — Protocolar provisória elegível</w:t>
      </w:r>
    </w:p>
    <w:p>
      <w:r>
        <w:rPr>
          <w:rFonts w:ascii="Arial" w:hAnsi="Arial"/>
          <w:b/>
          <w:sz w:val="22"/>
        </w:rPr>
        <w:t xml:space="preserve">Dado que </w:t>
      </w:r>
      <w:r>
        <w:rPr>
          <w:rFonts w:ascii="Arial" w:hAnsi="Arial"/>
          <w:sz w:val="22"/>
        </w:rPr>
        <w:t>TVL provisório deferido, com número, de empresa com vínculo ativo, fora do intervalo de bloqueio e sem renovação em aberto, e as declarações obrigatórias marcadas</w:t>
      </w:r>
    </w:p>
    <w:p>
      <w:r>
        <w:rPr>
          <w:rFonts w:ascii="Arial" w:hAnsi="Arial"/>
          <w:b/>
          <w:sz w:val="22"/>
        </w:rPr>
        <w:t xml:space="preserve">Quando </w:t>
      </w:r>
      <w:r>
        <w:rPr>
          <w:rFonts w:ascii="Arial" w:hAnsi="Arial"/>
          <w:sz w:val="22"/>
        </w:rPr>
        <w:t>o cidadão protocola</w:t>
      </w:r>
    </w:p>
    <w:p>
      <w:r>
        <w:rPr>
          <w:rFonts w:ascii="Arial" w:hAnsi="Arial"/>
          <w:b/>
          <w:sz w:val="22"/>
        </w:rPr>
        <w:t xml:space="preserve">Então </w:t>
      </w:r>
      <w:r>
        <w:rPr>
          <w:rFonts w:ascii="Arial" w:hAnsi="Arial"/>
          <w:sz w:val="22"/>
        </w:rPr>
        <w:t>nasce uma solicitação de renovação protocolada, em análise semi-expressa, ligada à origem, e o cidadão cai no detalhe do processo</w:t>
      </w:r>
    </w:p>
    <w:p/>
    <w:p>
      <w:r>
        <w:rPr>
          <w:rFonts w:ascii="Arial" w:hAnsi="Arial"/>
          <w:b/>
          <w:sz w:val="22"/>
        </w:rPr>
        <w:t>Cenário 2: CA-02 — Bloqueios de elegibilidade</w:t>
      </w:r>
    </w:p>
    <w:p>
      <w:r>
        <w:rPr>
          <w:rFonts w:ascii="Arial" w:hAnsi="Arial"/>
          <w:b/>
          <w:sz w:val="22"/>
        </w:rPr>
        <w:t xml:space="preserve">Dado que </w:t>
      </w:r>
      <w:r>
        <w:rPr>
          <w:rFonts w:ascii="Arial" w:hAnsi="Arial"/>
          <w:sz w:val="22"/>
        </w:rPr>
        <w:t>TVL definitivo, renovação recente dentro do intervalo, ou renovação ainda em análise</w:t>
      </w:r>
    </w:p>
    <w:p>
      <w:r>
        <w:rPr>
          <w:rFonts w:ascii="Arial" w:hAnsi="Arial"/>
          <w:b/>
          <w:sz w:val="22"/>
        </w:rPr>
        <w:t xml:space="preserve">Quando </w:t>
      </w:r>
      <w:r>
        <w:rPr>
          <w:rFonts w:ascii="Arial" w:hAnsi="Arial"/>
          <w:sz w:val="22"/>
        </w:rPr>
        <w:t>o cidadão tenta abrir ou protocolar</w:t>
      </w:r>
    </w:p>
    <w:p>
      <w:r>
        <w:rPr>
          <w:rFonts w:ascii="Arial" w:hAnsi="Arial"/>
          <w:b/>
          <w:sz w:val="22"/>
        </w:rPr>
        <w:t xml:space="preserve">Então </w:t>
      </w:r>
      <w:r>
        <w:rPr>
          <w:rFonts w:ascii="Arial" w:hAnsi="Arial"/>
          <w:sz w:val="22"/>
        </w:rPr>
        <w:t>o sistema recusa com o motivo correspondente e não cria outra solicitação</w:t>
      </w:r>
    </w:p>
    <w:p/>
    <w:p>
      <w:r>
        <w:rPr>
          <w:rFonts w:ascii="Arial" w:hAnsi="Arial"/>
          <w:b/>
          <w:sz w:val="22"/>
        </w:rPr>
        <w:t>Cenário 3: CA-03 — Empresa de outro usuário</w:t>
      </w:r>
    </w:p>
    <w:p>
      <w:r>
        <w:rPr>
          <w:rFonts w:ascii="Arial" w:hAnsi="Arial"/>
          <w:b/>
          <w:sz w:val="22"/>
        </w:rPr>
        <w:t xml:space="preserve">Dado que </w:t>
      </w:r>
      <w:r>
        <w:rPr>
          <w:rFonts w:ascii="Arial" w:hAnsi="Arial"/>
          <w:sz w:val="22"/>
        </w:rPr>
        <w:t>uma solicitação cuja empresa não tem vínculo ativo com o usuário efetivo</w:t>
      </w:r>
    </w:p>
    <w:p>
      <w:r>
        <w:rPr>
          <w:rFonts w:ascii="Arial" w:hAnsi="Arial"/>
          <w:b/>
          <w:sz w:val="22"/>
        </w:rPr>
        <w:t xml:space="preserve">Quando </w:t>
      </w:r>
      <w:r>
        <w:rPr>
          <w:rFonts w:ascii="Arial" w:hAnsi="Arial"/>
          <w:sz w:val="22"/>
        </w:rPr>
        <w:t>ele abre ou protocola a renovação</w:t>
      </w:r>
    </w:p>
    <w:p>
      <w:r>
        <w:rPr>
          <w:rFonts w:ascii="Arial" w:hAnsi="Arial"/>
          <w:b/>
          <w:sz w:val="22"/>
        </w:rPr>
        <w:t xml:space="preserve">Então </w:t>
      </w:r>
      <w:r>
        <w:rPr>
          <w:rFonts w:ascii="Arial" w:hAnsi="Arial"/>
          <w:sz w:val="22"/>
        </w:rPr>
        <w:t>a resposta é 403</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HU.168 - RENOVAR VIABILIDADE - Versão 2.0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