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HU.180 – RELATÓRIO DE SATURAÇÃO LOCACIONAL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HU-180. Comparar estabelecimentos deferidos por bairro e CNAE com a capacidade recomendada e classificar o par Regras evidenciadas no código: (1) Sem capacidade não há percentual fabricado. (2) O relatório não indefere nem bloqueia novo protocolo. A situação é leitura. (3) “Bloqueio” no limiar é o nome do corte de classificação saturado, não uma trava do processo. Fluxo evidenciado: 1. SaturacaoService agrupa o bairro digitado (address_neighborhood) e o CNAE dos deferidos do recorte 2. A capacidade vem do parâmetro relatorios.saturacao.capacidades. Valor não numérico ou não positivo é ignorado 3. Sem capacidade, a situação é sem_capacidade, percentual nulo 4. Com capacidade, o percentual frente aos limiares relatorios.saturacao.alerta_percentual (padrão 80) e relatorios.saturacao.bloqueio_percentual (padrão 100) classifica ok, saturando ou saturado 5. O resumo conta pares avaliados, saturados, saturando e sem capacidade 6. O recorte territorial desta rota é o bairro digitado, não a zona oficial 7. ?formato= exporta solicitações filtradas (SolicitacoesReportSource), não a matriz de saturação Não evidenciado no código: Agregação por zona urbanística nesta rota Impedimento automático de nova solicitação ao atingir saturado.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saturação locacional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saturação locacional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saturação locacional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Comparar estabelecimentos deferidos por bairro e CNAE com a capacidade recomendada e classificar o par.</w:t>
      </w:r>
    </w:p>
    <w:p>
      <w:pPr>
        <w:pStyle w:val="Heading1"/>
      </w:pPr>
      <w:r>
        <w:t>HISTÓRIA DE USUÁRIO: Relatório de saturação locacional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quais pares bairro e CNAE estão acima da capacidade cadastrada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ler concentração, e ver explícito o CNAE sem capacidade em vez de um percentual inventado.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/gestao/relatorios/saturacao</w:t>
      </w:r>
    </w:p>
    <w:p>
      <w:pPr>
        <w:jc w:val="both"/>
      </w:pPr>
      <w:r>
        <w:rPr>
          <w:rFonts w:ascii="Arial" w:hAnsi="Arial"/>
          <w:sz w:val="24"/>
        </w:rPr>
        <w:t>• Consulta auditada (consulta-saturacao)</w:t>
      </w:r>
    </w:p>
    <w:p>
      <w:pPr>
        <w:jc w:val="both"/>
      </w:pPr>
      <w:r>
        <w:rPr>
          <w:rFonts w:ascii="Arial" w:hAnsi="Arial"/>
          <w:sz w:val="24"/>
        </w:rPr>
        <w:t>• Filtros comuns, inclusive bairro e CNAE</w:t>
      </w:r>
    </w:p>
    <w:p>
      <w:pPr>
        <w:jc w:val="both"/>
      </w:pPr>
      <w:r>
        <w:rPr>
          <w:rFonts w:ascii="Arial" w:hAnsi="Arial"/>
          <w:sz w:val="24"/>
        </w:rPr>
        <w:t>• Capacidade inválida no parâmetro não entra no mapa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saturação locacional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saturação locacional]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quais pares bairro e CNAE estão acima da capacidade cadastrada,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Comparar estabelecimentos deferidos por bairro e CNAE com a capacidade recomendada e classificar o par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HU.180 - RELATÓRIO DE SATURAÇÃO LOCACIONAL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