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HU.187 – MANTER REGRAS TERRITORIAIS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HU-187. Alterar uma regra territorial já existente no rascunho do domínio, publicar essa versão com outro mantenedor, reativar uma versão publicada ou descartar o rascunho sem mexer na vigente Regras evidenciadas no código: (1) RN-001: regra nova não nasce neste formulário. Entra por carga versionada. A edição parte de um código já existente (TerritorialRuleDraftService::aplicarAlteracao). (2) RN-002: tipo e efeito são estruturais e permanecem os da regra de origem. (3) RN-003: a vigente não é editada no lugar. A alteração fica no rascunho até a publicação. (4) RN-004: publicar exige publicador diferente do autor, porque RuleDomain::Territorial é sensível e o controller não desliga o quatro olhos. (5) RN-005: descartar o rascunho não altera a versão vigente. Fluxo evidenciado: 1. POST louos/territoriais/rascunho grava a alteração no rascunho do domínio. Se não há rascunho aberto, TerritorialRuleDraftService::aplicarAlteracao abre um a partir da versão informada 2. A regra é localizada pelo código dentro do rascunho. Se ainda não está nele, o serviço copia tipo e efeito da regra de mesmo código em alguma versão territorial. Código inexistente em qualquer versão territorial lança «Regra territorial {código} não encontrada para edição.» e não cria regra nova 3. Tipo e efeito não entram no formulário e não são alterados. A tela atualiza título, CODLOG, nome do logradouro, camada, filtro, zona alvo, motivo de análise, texto de decisão, base legal e a flag ativo. A lista de CNAEs e a lista de endereços, quando enviadas, substituem as anteriores 4. A resposta volta à aba territoriais com «Regra gravada no rascunho {versão}. A publicação exige outro mantenedor (quatro olhos).» A auditoria é regras / rascunho-regra-territorial 5. PUT louos/territoriais/versoes/{versao}/publicar só aceita rascunho do domínio territorial. O autor do rascunho recebe «A publicação por quatro olhos exige um publicador diferente do autor do rascunho.» Outro mantenedor publica e a versão entra em uso 6. PUT .../ativar só aceita versão territorial que não seja rascunho. Rascunho devolve «Rascunho não pode ser ativado — publique-o antes.» A vigente anterior é encerrada, não apagada 7. DELETE louos/territoriais/rascunho/{versao} apaga as regras daquele rascunho e o próprio rascunho. A vigente permanece. A auditoria é regras / descarte-rascunho-territorial 8. Versão de outro domínio devolve «A versão não pertence ao domínio das regras territoriais.» Publicar ou descartar o que não é rascunho devolve «A operação exige uma versão em rascunho.» Não evidenciado no código: Inclusão de regra com código novo pela tela Alteração de tipo ou efeito pela tela Exclusão da versão vigente Item de menu próprio: a manutenção fica na aba territoriais do Motor de regras. Divergência em relação à redação anterior: Não havia HU. A capacidade existia no código sem rastreabilidade. A aplicação das regras no processo continua nas HU-035 e HU-043. Esta história cobre só a manutenção no hub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regras territoriais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regras territoriais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regras territoriais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Alterar uma regra territorial já existente no rascunho do domínio, publicar essa versão com outro mantenedor, reativar uma versão publicada ou descartar o rascunho sem mexer na vigente.</w:t>
      </w:r>
    </w:p>
    <w:p>
      <w:pPr>
        <w:pStyle w:val="Heading1"/>
      </w:pPr>
      <w:r>
        <w:t>HISTÓRIA DE USUÁRIO: Manter regras territoriais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ajustar título, alvos, CNAEs e endereços de uma regra territorial e publicar 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restrição vigente (logradouro, camada ou allow-list) passar a ser a versão publicada.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As rotas de rascunho, publicação, reativação e descarte ficam em /gestao/louos e exigem manter-louos</w:t>
      </w:r>
    </w:p>
    <w:p>
      <w:pPr>
        <w:jc w:val="both"/>
      </w:pPr>
      <w:r>
        <w:rPr>
          <w:rFonts w:ascii="Arial" w:hAnsi="Arial"/>
          <w:sz w:val="24"/>
        </w:rPr>
        <w:t>• A consulta do hub Motor de regras (/gestao/louos, aba territoriais) usa o mesmo item de menu e aceita consultar-louos ou consultar-cnaes só para leitura</w:t>
      </w:r>
    </w:p>
    <w:p>
      <w:pPr>
        <w:jc w:val="both"/>
      </w:pPr>
      <w:r>
        <w:rPr>
          <w:rFonts w:ascii="Arial" w:hAnsi="Arial"/>
          <w:sz w:val="24"/>
        </w:rPr>
        <w:t>• A publicação chama RuleVersionService::publish com quatro olhos ligados. O domínio territorial é sensível: o publicador não pode ser o autor do rascunho</w:t>
      </w:r>
    </w:p>
    <w:p>
      <w:pPr>
        <w:jc w:val="both"/>
      </w:pPr>
      <w:r>
        <w:rPr>
          <w:rFonts w:ascii="Arial" w:hAnsi="Arial"/>
          <w:sz w:val="24"/>
        </w:rPr>
        <w:t>• codigo e version obrigatórios</w:t>
      </w:r>
    </w:p>
    <w:p>
      <w:pPr>
        <w:jc w:val="both"/>
      </w:pPr>
      <w:r>
        <w:rPr>
          <w:rFonts w:ascii="Arial" w:hAnsi="Arial"/>
          <w:sz w:val="24"/>
        </w:rPr>
        <w:t>• titulo obrigatório, até 255</w:t>
      </w:r>
    </w:p>
    <w:p>
      <w:pPr>
        <w:jc w:val="both"/>
      </w:pPr>
      <w:r>
        <w:rPr>
          <w:rFonts w:ascii="Arial" w:hAnsi="Arial"/>
          <w:sz w:val="24"/>
        </w:rPr>
        <w:t>• ativo obrigatório, booleano</w:t>
      </w:r>
    </w:p>
    <w:p>
      <w:pPr>
        <w:jc w:val="both"/>
      </w:pPr>
      <w:r>
        <w:rPr>
          <w:rFonts w:ascii="Arial" w:hAnsi="Arial"/>
          <w:sz w:val="24"/>
        </w:rPr>
        <w:t>• cod_log até 20; logradouro_nome, camada e titulo até 255; camada_filtro até 500; zona_alvo até 60; motivo_analise até 2000; base_legal até 500</w:t>
      </w:r>
    </w:p>
    <w:p>
      <w:pPr>
        <w:jc w:val="both"/>
      </w:pPr>
      <w:r>
        <w:rPr>
          <w:rFonts w:ascii="Arial" w:hAnsi="Arial"/>
          <w:sz w:val="24"/>
        </w:rPr>
        <w:t>• decision_text_id inteiro existente em decision_texts, ou vazio</w:t>
      </w:r>
    </w:p>
    <w:p>
      <w:pPr>
        <w:jc w:val="both"/>
      </w:pPr>
      <w:r>
        <w:rPr>
          <w:rFonts w:ascii="Arial" w:hAnsi="Arial"/>
          <w:sz w:val="24"/>
        </w:rPr>
        <w:t>• cnaes presente, array. Cada item tem 7 dígitos, sem máscara, e não se repete. Mensagem: «Cada CNAE deve ter os 7 dígitos da subclasse (sem máscara).»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regras territoriais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regras territoriais]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Editar regra existente no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código de regra territorial já versionado e um mantenedor com manter-louos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envia título, situação, CNAEs e endereços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alteração fica no rascunho, tipo e efeito não mudam, e a vigente continua a anterior até a publicação</w:t>
      </w:r>
    </w:p>
    <w:p/>
    <w:p>
      <w:r>
        <w:rPr>
          <w:rFonts w:ascii="Arial" w:hAnsi="Arial"/>
          <w:b/>
          <w:sz w:val="22"/>
        </w:rPr>
        <w:t>Cenário 2: CA-02 — Código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código que não existe em nenhuma versão territorial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tenta gravar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serviço recusa e não cria regra</w:t>
      </w:r>
    </w:p>
    <w:p/>
    <w:p>
      <w:r>
        <w:rPr>
          <w:rFonts w:ascii="Arial" w:hAnsi="Arial"/>
          <w:b/>
          <w:sz w:val="22"/>
        </w:rPr>
        <w:t>Cenário 3: CA-03 — Quatro olhos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territorial cujo autor é o usuário logado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mesmo usuário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recusada. Outro mantenedor com manter-louos publica e a versão passa a vigorar</w:t>
      </w:r>
    </w:p>
    <w:p/>
    <w:p>
      <w:r>
        <w:rPr>
          <w:rFonts w:ascii="Arial" w:hAnsi="Arial"/>
          <w:b/>
          <w:sz w:val="22"/>
        </w:rPr>
        <w:t>Cenário 4: CA-04 — Descarte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territorial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descarta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e as regras dele saem, e a versão vigente permanece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HU.187 - MANTER REGRAS TERRITORIAIS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