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6800850" cy="1047750"/>
            <wp:effectExtent l="0" t="0" r="0" b="0"/>
            <wp:docPr id="1" name="Image1" title="Sudoeste Informática e Consul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Sudoeste Informática e Consultoria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ind w:hanging="0" w:start="0" w:end="0"/>
        <w:jc w:val="end"/>
        <w:rPr>
          <w:b/>
          <w:color w:val="1F4E79"/>
          <w:sz w:val="18"/>
        </w:rPr>
      </w:pPr>
      <w:r>
        <w:rPr>
          <w:b/>
          <w:color w:val="1F4E79"/>
          <w:sz w:val="18"/>
        </w:rPr>
        <w:t>COMUNICAÇÃO TÉCNICA</w:t>
        <w:br/>
        <w:t>VIABILIZA — SEDUR</w:t>
      </w:r>
    </w:p>
    <w:p>
      <w:pPr>
        <w:pStyle w:val="BodyTextmeta"/>
        <w:bidi w:val="0"/>
        <w:spacing w:before="0" w:after="30"/>
        <w:jc w:val="start"/>
        <w:rPr/>
      </w:pPr>
      <w:r>
        <w:rPr>
          <w:rStyle w:val="Strong"/>
        </w:rPr>
        <w:t>Salvador,</w:t>
      </w:r>
      <w:r>
        <w:rPr/>
        <w:t xml:space="preserve"> 3 de outubro de 2026.</w:t>
      </w:r>
    </w:p>
    <w:p>
      <w:pPr>
        <w:pStyle w:val="BodyTextmeta"/>
        <w:bidi w:val="0"/>
        <w:spacing w:before="180" w:after="120"/>
        <w:ind w:hanging="0" w:start="0" w:end="0"/>
        <w:jc w:val="start"/>
        <w:rPr/>
      </w:pPr>
      <w:r>
        <w:rPr>
          <w:rStyle w:val="Strong"/>
        </w:rPr>
        <w:t>À</w:t>
      </w:r>
      <w:r>
        <w:rPr/>
        <w:br/>
        <w:t>Junta Comercial do Estado da Bahia — JUCEB</w:t>
        <w:br/>
        <w:t>A/C: Área responsável pela integração REGIN</w:t>
      </w:r>
    </w:p>
    <w:p>
      <w:pPr>
        <w:pStyle w:val="BodyTextmeta"/>
        <w:bidi w:val="0"/>
        <w:spacing w:before="150" w:after="120"/>
        <w:ind w:hanging="0" w:start="0" w:end="0"/>
        <w:jc w:val="start"/>
        <w:rPr/>
      </w:pPr>
      <w:r>
        <w:rPr>
          <w:rStyle w:val="Strong"/>
        </w:rPr>
        <w:t>Assunto:</w:t>
      </w:r>
      <w:r>
        <w:rPr/>
        <w:t xml:space="preserve"> Registro das URLs do Viabiliza e contrato de recebimento versão 2.0.0 (homologação e produção).</w:t>
      </w:r>
    </w:p>
    <w:p>
      <w:pPr>
        <w:pStyle w:val="BodyText"/>
        <w:bidi w:val="0"/>
        <w:spacing w:before="0" w:after="120"/>
        <w:jc w:val="both"/>
        <w:rPr/>
      </w:pPr>
      <w:r>
        <w:rPr/>
        <w:t>Prezados Senhores,</w:t>
      </w:r>
    </w:p>
    <w:p>
      <w:pPr>
        <w:pStyle w:val="BodyText"/>
        <w:bidi w:val="0"/>
        <w:spacing w:before="0" w:after="120"/>
        <w:jc w:val="both"/>
        <w:rPr/>
      </w:pPr>
      <w:r>
        <w:rPr/>
        <w:t>A Sudoeste Informática e Consultoria, responsável técnica do sistema Viabiliza da Secretaria Municipal de Desenvolvimento Urbano — SEDUR, solicita o registro das URLs abaixo como endereço da instituição para recebimento dos processos de viabilidade locacional enviados pelo REGIN.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O contrato desta comunicação é a versão </w:t>
      </w:r>
      <w:r>
        <w:rPr>
          <w:rStyle w:val="Strong"/>
        </w:rPr>
        <w:t>2.0.0</w:t>
      </w:r>
      <w:r>
        <w:rPr/>
        <w:t xml:space="preserve"> da API de recebimento. O REGIN continua chamando a URL da Prefeitura, serviço </w:t>
      </w:r>
      <w:r>
        <w:rPr>
          <w:rStyle w:val="SourceText"/>
        </w:rPr>
        <w:t>WsProSol098</w:t>
      </w:r>
      <w:r>
        <w:rPr/>
        <w:t xml:space="preserve">. Não há token nem header </w:t>
      </w:r>
      <w:r>
        <w:rPr>
          <w:rStyle w:val="SourceText"/>
        </w:rPr>
        <w:t>JWT</w:t>
      </w:r>
      <w:r>
        <w:rPr/>
        <w:t xml:space="preserve"> nesta chamada. O </w:t>
      </w:r>
      <w:r>
        <w:rPr>
          <w:rStyle w:val="SourceText"/>
        </w:rPr>
        <w:t>JWT</w:t>
      </w:r>
      <w:r>
        <w:rPr/>
        <w:t xml:space="preserve"> permanece apenas nas chamadas que o Viabiliza faz à API da JUCEB.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O teste de conectividade é um </w:t>
      </w:r>
      <w:r>
        <w:rPr>
          <w:rStyle w:val="SourceText"/>
        </w:rPr>
        <w:t>GET</w:t>
      </w:r>
      <w:r>
        <w:rPr/>
        <w:t xml:space="preserve"> na URL de recebimento. A resposta é texto puro </w:t>
      </w:r>
      <w:r>
        <w:rPr>
          <w:rStyle w:val="SourceText"/>
        </w:rPr>
        <w:t>3</w:t>
      </w:r>
      <w:r>
        <w:rPr/>
        <w:t xml:space="preserve">. O </w:t>
      </w:r>
      <w:r>
        <w:rPr>
          <w:rStyle w:val="SourceText"/>
        </w:rPr>
        <w:t>POST</w:t>
      </w:r>
      <w:r>
        <w:rPr/>
        <w:t xml:space="preserve"> do processo usa a mesma URL e responde também em texto puro:</w:t>
      </w:r>
    </w:p>
    <w:tbl>
      <w:tblPr>
        <w:tblW w:w="75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08"/>
        <w:gridCol w:w="6022"/>
        <w:gridCol w:w="763"/>
      </w:tblGrid>
      <w:tr>
        <w:trPr/>
        <w:tc>
          <w:tcPr>
            <w:tcW w:w="8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Código</w:t>
            </w:r>
          </w:p>
        </w:tc>
        <w:tc>
          <w:tcPr>
            <w:tcW w:w="60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Significado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HTTP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0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Protocolo gravado agora.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60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O mesmo protocolo já havia sido recebido. Não abre segunda via.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60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Protocolo ausente ou vazio. Nada é gravado.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400</w:t>
            </w:r>
          </w:p>
        </w:tc>
      </w:tr>
    </w:tbl>
    <w:p>
      <w:pPr>
        <w:pStyle w:val="BodyText"/>
        <w:bidi w:val="0"/>
        <w:spacing w:before="0" w:after="120"/>
        <w:jc w:val="both"/>
        <w:rPr/>
      </w:pPr>
      <w:r>
        <w:rPr/>
        <w:t xml:space="preserve">A duplicidade é pelo número do protocolo, não pelo CNPJ. O CNPJ da Prefeitura Municipal de Salvador, usado no envelope, é </w:t>
      </w:r>
      <w:r>
        <w:rPr>
          <w:rStyle w:val="Strong"/>
        </w:rPr>
        <w:t>13.927.801/0001-49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180" w:after="60"/>
        <w:ind w:start="180" w:end="180"/>
        <w:jc w:val="start"/>
        <w:rPr/>
      </w:pPr>
      <w:r>
        <w:rPr/>
        <w:t>1. Dois corpos aceitos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O </w:t>
      </w:r>
      <w:r>
        <w:rPr>
          <w:rStyle w:val="SourceText"/>
        </w:rPr>
        <w:t>POST</w:t>
      </w:r>
      <w:r>
        <w:rPr/>
        <w:t xml:space="preserve"> aceita dois JSON. O envelope </w:t>
      </w:r>
      <w:r>
        <w:rPr>
          <w:rStyle w:val="SourceText"/>
        </w:rPr>
        <w:t>EnvioDto</w:t>
      </w:r>
      <w:r>
        <w:rPr/>
        <w:t xml:space="preserve"> já publicado pela JUCEB (Guia Técnico PSCS e OpenAPI de produção) continua válido. A declaração </w:t>
      </w:r>
      <w:r>
        <w:rPr>
          <w:rStyle w:val="SourceText"/>
        </w:rPr>
        <w:t>ProcessoDeclaracao</w:t>
      </w:r>
      <w:r>
        <w:rPr/>
        <w:t>, versão 2.0.0, é o contrato para abrir a viabilidade com os dados do solicitante, do imóvel, dos CNAEs e das respostas.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Campos, tipos, exemplos e os dois corpos aceitos estão na especificação anexa e na página de documentação de cada ambiente. O processo é criado quando, além do </w:t>
      </w:r>
      <w:r>
        <w:rPr>
          <w:rStyle w:val="SourceText"/>
        </w:rPr>
        <w:t>protocolo</w:t>
      </w:r>
      <w:r>
        <w:rPr/>
        <w:t xml:space="preserve">, vêm razão social, CNAE principal, área utilizada maior que zero, logradouro, bairro e CEP. Sem algum desses, a resposta continua </w:t>
      </w:r>
      <w:r>
        <w:rPr>
          <w:rStyle w:val="SourceText"/>
        </w:rPr>
        <w:t>3</w:t>
      </w:r>
      <w:r>
        <w:rPr/>
        <w:t xml:space="preserve"> e o processo não é criado.</w:t>
      </w:r>
    </w:p>
    <w:p>
      <w:pPr>
        <w:pStyle w:val="Heading2"/>
        <w:numPr>
          <w:ilvl w:val="0"/>
          <w:numId w:val="0"/>
        </w:numPr>
        <w:bidi w:val="0"/>
        <w:spacing w:before="180" w:after="60"/>
        <w:ind w:start="180" w:end="180"/>
        <w:jc w:val="start"/>
        <w:rPr/>
      </w:pPr>
      <w:r>
        <w:rPr/>
        <w:t>2. URLs</w:t>
      </w:r>
    </w:p>
    <w:tbl>
      <w:tblPr>
        <w:tblW w:w="100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3"/>
        <w:gridCol w:w="4337"/>
        <w:gridCol w:w="4372"/>
      </w:tblGrid>
      <w:tr>
        <w:trPr/>
        <w:tc>
          <w:tcPr>
            <w:tcW w:w="13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Ambiente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Recebimento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start"/>
              <w:rPr/>
            </w:pPr>
            <w:r>
              <w:rPr/>
              <w:t>Documentação (Swagger, v2.0.0)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Homologação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https://viabiliza-hml.salvador.ba.gov.br/api_integracao/recebe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https://viabiliza-hml.salvador.ba.gov.br/api_integracao/docs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Produção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https://viabiliza.salvador.ba.gov.br/api_integracao/recebe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>
                <w:rStyle w:val="SourceText"/>
              </w:rPr>
              <w:t>https://viabiliza.salvador.ba.gov.br/api_integracao/docs</w:t>
            </w:r>
          </w:p>
        </w:tc>
      </w:tr>
    </w:tbl>
    <w:p>
      <w:pPr>
        <w:pStyle w:val="BodyText"/>
        <w:bidi w:val="0"/>
        <w:spacing w:before="0" w:after="120"/>
        <w:jc w:val="both"/>
        <w:rPr/>
      </w:pPr>
      <w:r>
        <w:rPr/>
        <w:t>A homologação do REGIN deve apontar somente para a URL de homologação, e a produção do REGIN somente para a URL de produção. Este endereço substitui o informado no ofício de 19 de agosto de 2026. O sistema é o Viabiliza, e não viabilidade.</w:t>
      </w:r>
    </w:p>
    <w:p>
      <w:pPr>
        <w:pStyle w:val="Heading2"/>
        <w:numPr>
          <w:ilvl w:val="0"/>
          <w:numId w:val="0"/>
        </w:numPr>
        <w:bidi w:val="0"/>
        <w:spacing w:before="180" w:after="60"/>
        <w:ind w:start="180" w:end="180"/>
        <w:jc w:val="start"/>
        <w:rPr/>
      </w:pPr>
      <w:r>
        <w:rPr/>
        <w:t>3. Contato técnico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Filipe Falcão — Líder técnico, Sudoeste Informática e Consultoria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E-mail: fillipe.falcao@sudoesteinformatica.com.br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Telefone: +55 75 99157-2090 </w:t>
      </w:r>
    </w:p>
    <w:p>
      <w:pPr>
        <w:pStyle w:val="BodyText"/>
        <w:bidi w:val="0"/>
        <w:spacing w:before="0" w:after="120"/>
        <w:jc w:val="both"/>
        <w:rPr/>
      </w:pPr>
      <w:r>
        <w:rPr/>
        <w:t>Certos da atenção, colocamo-nos à disposição para o teste de envio assim que as URLs estiverem registradas.</w:t>
      </w:r>
    </w:p>
    <w:p>
      <w:pPr>
        <w:pStyle w:val="BodyText"/>
        <w:bidi w:val="0"/>
        <w:spacing w:before="0" w:after="120"/>
        <w:jc w:val="both"/>
        <w:rPr/>
      </w:pPr>
      <w:r>
        <w:rPr/>
        <w:t>Atenciosamente,</w:t>
      </w:r>
    </w:p>
    <w:p>
      <w:pPr>
        <w:pStyle w:val="BodyText"/>
        <w:bidi w:val="0"/>
        <w:spacing w:before="240" w:after="120"/>
        <w:ind w:hanging="0" w:start="270" w:end="270"/>
        <w:rPr/>
      </w:pPr>
      <w:r>
        <w:rPr>
          <w:rStyle w:val="Strong"/>
        </w:rPr>
        <w:t>Filipe Falcão</w:t>
      </w:r>
      <w:r>
        <w:rPr/>
        <w:br/>
        <w:t>Líder técnico</w:t>
        <w:br/>
        <w:t>Sudoeste Informática e Consultoria</w:t>
        <w:br/>
        <w:t>Viabiliza — SEDUR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Sudoeste Informática e Consultoria · Comunicação técnica · API de recebimento REGIN versão 2.0.0 · 3 de outubro de 2026 </w:t>
      </w:r>
    </w:p>
    <w:sectPr>
      <w:type w:val="nextPage"/>
      <w:pgSz w:w="11906" w:h="16838"/>
      <w:pgMar w:left="907" w:right="907" w:gutter="0" w:header="0" w:top="907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Courier New">
    <w:altName w:val="Courier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7"/>
    </w:pPr>
    <w:rPr>
      <w:rFonts w:ascii="Times New Roman;Times;serif" w:hAnsi="Times New Roman;Times;serif" w:eastAsia="Times New Roman;Times;serif" w:cs="Times New Roman;Times;serif"/>
      <w:color w:val="111111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180" w:after="60"/>
      <w:ind w:start="180" w:end="180"/>
      <w:outlineLvl w:val="1"/>
    </w:pPr>
    <w:rPr>
      <w:rFonts w:ascii="Liberation Serif" w:hAnsi="Liberation Serif" w:eastAsia="Songti SC" w:cs="Arial Unicode MS"/>
      <w:b/>
      <w:bCs/>
      <w:color w:val="1F4E79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Courier;monospace" w:hAnsi="Courier New;Courier;monospace" w:eastAsia="Courier New;Courier;monospace" w:cs="Courier New;Courier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meta">
    <w:name w:val="Body Text.meta"/>
    <w:basedOn w:val="BodyText"/>
    <w:qFormat/>
    <w:pPr>
      <w:spacing w:before="0" w:after="30"/>
      <w:jc w:val="start"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Users/filipefalcao/Downloads/fabrica/sile/docs/oficios/logo_sudoeste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Pages>1</Pages>
  <Words>434</Words>
  <Characters>2533</Characters>
  <CharactersWithSpaces>2931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Comunicação técnica — API de recebimento REGIN v2.0.0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