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À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Junta Comercial do Estado da Bahia – JUCEB</w:t>
      </w:r>
    </w:p>
    <w:p>
      <w:pPr>
        <w:spacing w:before="0" w:after="6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A/C: Área responsável pela Integração REGIN</w:t>
      </w:r>
    </w:p>
    <w:p>
      <w:pPr>
        <w:spacing w:before="0" w:after="6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 xml:space="preserve">Assunto: </w:t>
      </w:r>
      <w:r>
        <w:rPr>
          <w:rFonts w:ascii="Calibri" w:hAnsi="Calibri" w:cs="Calibri" w:eastAsia="Calibri"/>
          <w:b w:val="0"/>
          <w:color w:val="000000"/>
          <w:sz w:val="24"/>
        </w:rPr>
        <w:t>Registro das URLs da SEDUR para recebimento dos processos de viabilidade (homologação e produção)</w:t>
      </w:r>
    </w:p>
    <w:p>
      <w:pPr>
        <w:spacing w:before="0" w:after="6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Prezado Senhores,</w:t>
      </w:r>
    </w:p>
    <w:p>
      <w:pPr>
        <w:spacing w:before="0" w:after="60" w:line="240" w:lineRule="auto"/>
        <w:jc w:val="both"/>
      </w:pPr>
      <w:r>
        <w:rPr>
          <w:rFonts w:ascii="Calibri" w:hAnsi="Calibri" w:cs="Calibri" w:eastAsia="Calibri"/>
          <w:b/>
          <w:color w:val="000000"/>
          <w:sz w:val="24"/>
        </w:rPr>
        <w:t>A Secretaria Municipal de Desenvolvimento Urbano – SEDUR</w:t>
      </w:r>
      <w:r>
        <w:rPr>
          <w:rFonts w:ascii="Calibri" w:hAnsi="Calibri" w:cs="Calibri" w:eastAsia="Calibri"/>
          <w:b w:val="0"/>
          <w:color w:val="000000"/>
          <w:sz w:val="24"/>
        </w:rPr>
        <w:t xml:space="preserve">, por meio de sua Coordenadoria de Tecnologia da Informação – CTI, solicita o registro das URLs do sistema </w:t>
      </w:r>
      <w:r>
        <w:rPr>
          <w:rFonts w:ascii="Calibri" w:hAnsi="Calibri" w:cs="Calibri" w:eastAsia="Calibri"/>
          <w:b/>
          <w:color w:val="000000"/>
          <w:sz w:val="24"/>
        </w:rPr>
        <w:t>Viabiliza</w:t>
      </w:r>
      <w:r>
        <w:rPr>
          <w:rFonts w:ascii="Calibri" w:hAnsi="Calibri" w:cs="Calibri" w:eastAsia="Calibri"/>
          <w:b w:val="0"/>
          <w:color w:val="000000"/>
          <w:sz w:val="24"/>
        </w:rPr>
        <w:t xml:space="preserve"> como endereço da instituição para recebimento dos processos de viabilidade locacional enviados pelo REGIN.</w:t>
      </w:r>
    </w:p>
    <w:p>
      <w:pPr>
        <w:spacing w:before="0" w:after="60" w:line="240" w:lineRule="auto"/>
        <w:jc w:val="both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O contrato é o da API de integração já publicada pela JUCEB (Guia Técnico PSCS e OpenAPI de produção): o REGIN chama a URL da Prefeitura, serviço </w:t>
      </w:r>
      <w:r>
        <w:rPr>
          <w:rFonts w:ascii="Calibri" w:hAnsi="Calibri" w:cs="Calibri" w:eastAsia="Calibri"/>
          <w:b/>
          <w:color w:val="000000"/>
          <w:sz w:val="24"/>
        </w:rPr>
        <w:t>WsProSol098</w:t>
      </w:r>
      <w:r>
        <w:rPr>
          <w:rFonts w:ascii="Calibri" w:hAnsi="Calibri" w:cs="Calibri" w:eastAsia="Calibri"/>
          <w:b w:val="0"/>
          <w:color w:val="000000"/>
          <w:sz w:val="24"/>
        </w:rPr>
        <w:t xml:space="preserve">, envelope </w:t>
      </w:r>
      <w:r>
        <w:rPr>
          <w:rFonts w:ascii="Calibri" w:hAnsi="Calibri" w:cs="Calibri" w:eastAsia="Calibri"/>
          <w:b/>
          <w:color w:val="000000"/>
          <w:sz w:val="24"/>
        </w:rPr>
        <w:t>EnvioDto</w:t>
      </w:r>
      <w:r>
        <w:rPr>
          <w:rFonts w:ascii="Calibri" w:hAnsi="Calibri" w:cs="Calibri" w:eastAsia="Calibri"/>
          <w:b w:val="0"/>
          <w:color w:val="000000"/>
          <w:sz w:val="24"/>
        </w:rPr>
        <w:t>. Não há token nem header JWT nesta chamada. O JWT permanece apenas nas chamadas que o Viabiliza faz à API da JUCEB.</w:t>
      </w:r>
    </w:p>
    <w:p>
      <w:pPr>
        <w:spacing w:before="0" w:after="6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O teste de conectividade é um GET na URL de recebimento. A resposta é texto puro 3. O POST do processo usa a mesma URL e responde também em texto puro: 3 quando o processo é recebido, 5 quando o protocolo já havia sido recebido e 0 quando o protocolo está ausente (HTTP 400).</w:t>
      </w:r>
    </w:p>
    <w:p>
      <w:pPr>
        <w:spacing w:before="80" w:after="6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1. CNPJ da Prefeitura: 13.927.801/0001-49</w:t>
      </w:r>
    </w:p>
    <w:p>
      <w:pPr>
        <w:spacing w:before="40" w:after="4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2. Ambiente de homologação: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URL de recebimento: </w:t>
      </w:r>
      <w:r>
        <w:rPr>
          <w:rFonts w:ascii="Calibri" w:hAnsi="Calibri" w:cs="Calibri" w:eastAsia="Calibri"/>
          <w:b w:val="0"/>
          <w:color w:val="000000"/>
          <w:sz w:val="24"/>
        </w:rPr>
        <w:t>https://viabiliza-hml.salvador.ba.gov.br/api_integracao/recebe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Documentação: </w:t>
      </w:r>
      <w:r>
        <w:rPr>
          <w:rFonts w:ascii="Calibri" w:hAnsi="Calibri" w:cs="Calibri" w:eastAsia="Calibri"/>
          <w:b w:val="0"/>
          <w:color w:val="000000"/>
          <w:sz w:val="24"/>
        </w:rPr>
        <w:t>https://viabiliza-hml.salvador.ba.gov.br/api_integracao/docs</w:t>
      </w:r>
    </w:p>
    <w:p>
      <w:pPr>
        <w:spacing w:before="120" w:after="4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3. Ambiente de produção: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URL de recebimento: </w:t>
      </w:r>
      <w:r>
        <w:rPr>
          <w:rFonts w:ascii="Calibri" w:hAnsi="Calibri" w:cs="Calibri" w:eastAsia="Calibri"/>
          <w:b w:val="0"/>
          <w:color w:val="000000"/>
          <w:sz w:val="24"/>
        </w:rPr>
        <w:t>https://viabiliza.salvador.ba.gov.br/api_integracao/recebe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Documentação: </w:t>
      </w:r>
      <w:r>
        <w:rPr>
          <w:rFonts w:ascii="Calibri" w:hAnsi="Calibri" w:cs="Calibri" w:eastAsia="Calibri"/>
          <w:b w:val="0"/>
          <w:color w:val="000000"/>
          <w:sz w:val="24"/>
        </w:rPr>
        <w:t>https://viabiliza.salvador.ba.gov.br/api_integracao/docs</w:t>
      </w:r>
    </w:p>
    <w:p>
      <w:pPr>
        <w:spacing w:before="120" w:after="4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4. Contato técnico de TI: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Técnico: </w:t>
      </w:r>
      <w:r>
        <w:rPr>
          <w:rFonts w:ascii="Calibri" w:hAnsi="Calibri" w:cs="Calibri" w:eastAsia="Calibri"/>
          <w:b w:val="0"/>
          <w:color w:val="000000"/>
          <w:sz w:val="24"/>
        </w:rPr>
        <w:t>Filipe Falcão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Cargo: </w:t>
      </w:r>
      <w:r>
        <w:rPr>
          <w:rFonts w:ascii="Calibri" w:hAnsi="Calibri" w:cs="Calibri" w:eastAsia="Calibri"/>
          <w:b w:val="0"/>
          <w:color w:val="000000"/>
          <w:sz w:val="24"/>
        </w:rPr>
        <w:t>Líder Técnico (Sudoeste)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E-mail: </w:t>
      </w:r>
      <w:r>
        <w:rPr>
          <w:rFonts w:ascii="Calibri" w:hAnsi="Calibri" w:cs="Calibri" w:eastAsia="Calibri"/>
          <w:b w:val="0"/>
          <w:color w:val="000000"/>
          <w:sz w:val="24"/>
        </w:rPr>
        <w:t>fillipe.falcao@sudoesteinformatica.com.br</w:t>
      </w:r>
    </w:p>
    <w:p>
      <w:pPr>
        <w:spacing w:before="0" w:after="20" w:line="240" w:lineRule="auto"/>
        <w:ind w:left="709" w:hanging="227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•  </w:t>
      </w:r>
      <w:r>
        <w:rPr>
          <w:rFonts w:ascii="Calibri" w:hAnsi="Calibri" w:cs="Calibri" w:eastAsia="Calibri"/>
          <w:b/>
          <w:color w:val="000000"/>
          <w:sz w:val="24"/>
        </w:rPr>
        <w:t xml:space="preserve">Telefone: </w:t>
      </w:r>
      <w:r>
        <w:rPr>
          <w:rFonts w:ascii="Calibri" w:hAnsi="Calibri" w:cs="Calibri" w:eastAsia="Calibri"/>
          <w:b w:val="0"/>
          <w:color w:val="000000"/>
          <w:sz w:val="24"/>
        </w:rPr>
        <w:t>+55 75 99157-2090</w:t>
      </w:r>
    </w:p>
    <w:p>
      <w:pPr>
        <w:spacing w:before="80" w:after="60" w:line="240" w:lineRule="auto"/>
        <w:jc w:val="both"/>
      </w:pPr>
      <w:r>
        <w:rPr>
          <w:rFonts w:ascii="Calibri" w:hAnsi="Calibri" w:cs="Calibri" w:eastAsia="Calibri"/>
          <w:b w:val="0"/>
          <w:color w:val="000000"/>
          <w:sz w:val="24"/>
        </w:rPr>
        <w:t xml:space="preserve">Pedimos que a homologação do REGIN aponte somente para a URL de homologação, e a produção do REGIN somente para a URL de produção. </w:t>
      </w:r>
      <w:r>
        <w:rPr>
          <w:rFonts w:ascii="Calibri" w:hAnsi="Calibri" w:cs="Calibri" w:eastAsia="Calibri"/>
          <w:b/>
          <w:color w:val="000000"/>
          <w:sz w:val="24"/>
        </w:rPr>
        <w:t>Este endereço substitui o informado no ofício de 19 de agosto de 2026: o sistema é o Viabiliza, e não viabilidade.</w:t>
      </w:r>
    </w:p>
    <w:p>
      <w:pPr>
        <w:spacing w:before="80" w:after="6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Certos da atenção e colaboração, colocamo-nos à disposição para o teste de envio assim que as URLs estiverem registradas.</w:t>
      </w:r>
    </w:p>
    <w:p>
      <w:pPr>
        <w:spacing w:before="80" w:after="60" w:line="240" w:lineRule="auto"/>
        <w:jc w:val="left"/>
      </w:pPr>
      <w:r>
        <w:rPr>
          <w:rFonts w:ascii="Calibri" w:hAnsi="Calibri" w:cs="Calibri" w:eastAsia="Calibri"/>
          <w:b w:val="0"/>
          <w:color w:val="000000"/>
          <w:sz w:val="24"/>
        </w:rPr>
        <w:t>Atenciosamente,</w:t>
      </w:r>
    </w:p>
    <w:p>
      <w:pPr>
        <w:spacing w:before="80" w:after="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Anderson Cleber Magalhães Deiró</w:t>
      </w:r>
    </w:p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Coordenador de Tecnologia da Informação – CTI / SEDUR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1247" w:bottom="737" w:left="124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cs="Calibri" w:eastAsia="Calibri"/>
        <w:b w:val="0"/>
        <w:color w:val="000000"/>
        <w:sz w:val="18"/>
      </w:rPr>
      <w:t>Secretaria Municipal de Desenvolvimento Urbano</w:t>
    </w:r>
    <w:r>
      <w:br/>
    </w:r>
    <w:r>
      <w:rPr>
        <w:rFonts w:ascii="Calibri" w:hAnsi="Calibri" w:cs="Calibri" w:eastAsia="Calibri"/>
        <w:b w:val="0"/>
        <w:color w:val="000000"/>
        <w:sz w:val="18"/>
      </w:rPr>
      <w:t>Av. Antônio Carlos Magalhães, 3244 - Caminho das Árvores</w:t>
    </w:r>
    <w:r>
      <w:br/>
    </w:r>
    <w:r>
      <w:rPr>
        <w:rFonts w:ascii="Calibri" w:hAnsi="Calibri" w:cs="Calibri" w:eastAsia="Calibri"/>
        <w:b w:val="0"/>
        <w:color w:val="000000"/>
        <w:sz w:val="18"/>
      </w:rPr>
      <w:t>Edf. Emp. Thomé de Souza • CEP: 41.820-000</w:t>
    </w:r>
    <w:r>
      <w:br/>
    </w:r>
    <w:r>
      <w:rPr>
        <w:rFonts w:ascii="Calibri" w:hAnsi="Calibri" w:cs="Calibri" w:eastAsia="Calibri"/>
        <w:b w:val="0"/>
        <w:color w:val="000000"/>
        <w:sz w:val="18"/>
      </w:rPr>
      <w:t>Portal: www.sedur.salvador.ba.gov.br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drawing>
        <wp:inline xmlns:a="http://schemas.openxmlformats.org/drawingml/2006/main" xmlns:pic="http://schemas.openxmlformats.org/drawingml/2006/picture">
          <wp:extent cx="5472000" cy="8009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mbre-branc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32000" cy="8536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