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HU.010 – MANTER VALORES TLL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administrador mantém os valores da TLL por exercício. A lista filtra por texto, situação e exercício, pagina em 10, 15, 25 ou 50 itens e ordena pelo exercício mais recente, pelo código da TLL e pela especificação. Cada valor mostra código, especificação, exercício, valor, taxa de serviço, código SEDUR, código e nome do serviço da SEFAZ, situação e quantidade de CNAEs vinculados. A mesma página lista as versões do exercício, com autor, fonte e se a pessoa atual pode publicar. Incluir e editar gravam a linha. A combinação de código, exercício e especificação não se repete. Valor novo nasce ativo quando a situação não vem. Não há exclusão: desativar tira o valor do cálculo e preserva o registro. É possível ver os CNAEs ligados àquele valor. Gerar o exercício seguinte copia a origem para o destino com fator e decreto, em rascunho, e pede revisão e publicação por um segundo usuário. O exercício gerado não entra em vigor na cópia. Entra na publicação. Quem gerou o rascunho não publica o próprio exercício. Esta tela guarda a relação de valores e os códigos usados no envio à SEFAZ. Não emite o documento de arrecadação nem homologa o pagamento.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Manter valores TLL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Valores TLL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 da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manter os valores da TLL do exercício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cálculo use a relação publicada e não o rascunho.</w:t>
      </w:r>
    </w:p>
    <w:p>
      <w:pPr>
        <w:pStyle w:val="Heading1"/>
      </w:pPr>
      <w:r>
        <w:t>HISTÓRIA DE USUÁRIO: Manter valores TLL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 autorizado a manter os parâmetros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cadastrar o valor, gerar o exercício pelo fator do decreto e publicar com outro usuário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exercício só vigore depois da publicação por quem não o gerou.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Administrador autorizado a manter os parâmetros</w:t>
      </w:r>
    </w:p>
    <w:p>
      <w:pPr>
        <w:jc w:val="both"/>
      </w:pPr>
      <w:r>
        <w:rPr>
          <w:rFonts w:ascii="Arial" w:hAnsi="Arial"/>
          <w:sz w:val="24"/>
        </w:rPr>
        <w:t>• Exercício entre 2000 e 2200</w:t>
      </w:r>
    </w:p>
    <w:p>
      <w:pPr>
        <w:jc w:val="both"/>
      </w:pPr>
      <w:r>
        <w:rPr>
          <w:rFonts w:ascii="Arial" w:hAnsi="Arial"/>
          <w:sz w:val="24"/>
        </w:rPr>
        <w:t>• Para gerar o exercício, destino posterior à origem, fator maior que zero e no máximo 2, e decreto informado</w:t>
      </w:r>
    </w:p>
    <w:p>
      <w:pPr>
        <w:jc w:val="both"/>
      </w:pPr>
      <w:r>
        <w:rPr>
          <w:rFonts w:ascii="Arial" w:hAnsi="Arial"/>
          <w:sz w:val="24"/>
        </w:rPr>
        <w:t>• Outro usuário, diferente do autor do rascunho, para publicar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A emissão do documento de arrecadação e a homologação na SEFAZ não ocorrem nesta tela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Valores TLL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Configuração &gt; Valores TLL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tll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Combinação repetida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já existe valor para o mesmo código, exercício e especificação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cadastra a mesma combinação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validação informa que já existe valor para esse código, exercício e especificação</w:t>
      </w:r>
    </w:p>
    <w:p/>
    <w:p>
      <w:r>
        <w:rPr>
          <w:rFonts w:ascii="Arial" w:hAnsi="Arial"/>
          <w:b/>
          <w:sz w:val="22"/>
        </w:rPr>
        <w:t>Cenário 2: Inativar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valor está ativo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inverte a situação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valor fica inativo, sai do cálculo e continua na lista</w:t>
      </w:r>
    </w:p>
    <w:p/>
    <w:p>
      <w:r>
        <w:rPr>
          <w:rFonts w:ascii="Arial" w:hAnsi="Arial"/>
          <w:b/>
          <w:sz w:val="22"/>
        </w:rPr>
        <w:t>Cenário 3: Rascunho do exercício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há exercício de origem e um destino posterior, com fator maior que zero e no máximo 2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gera o exercício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resultado fica em rascunho e a mensagem pede um segundo usuário para publicar</w:t>
      </w:r>
    </w:p>
    <w:p/>
    <w:p>
      <w:r>
        <w:rPr>
          <w:rFonts w:ascii="Arial" w:hAnsi="Arial"/>
          <w:b/>
          <w:sz w:val="22"/>
        </w:rPr>
        <w:t>Cenário 4: Publicação pelo autor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rascunho do exercício foi gerado pelo próprio usuário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esse usuário tenta publicar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publicação é recusada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HU.010 - MANTER VALORES TLL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57" Type="http://schemas.openxmlformats.org/officeDocument/2006/relationships/image" Target="media/image49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