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HU.022 – MANTER ANEXOS DE ESCRITÓRIO VIRTUAL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mantenedor publica, com um segundo usuário, os Anexos A e B do Decreto nº 35.062/2021, que definem os CNAEs de sede e de abrigado. A página mostra a versão vigente, com data, quem publicou, fonte e totais dos dois anexos, o rascunho aberto e o histórico. A versão sugerida no formulário junta a data do dia. Importar recebe versão, fonte e as duas planilhas, uma de cada anexo. Cada planilha traz o código e a descrição do CNAE, em texto, com até 5 MB. A versão usa letras minúsculas, números e hífen, como no exemplo ev-anexos-2026-09-18. A importação grava rascunho e informa quantos CNAEs entraram em cada anexo. A lista vigente não muda nesse momento. Falha de formato volta a mensagem da importação. Versão já publicada é recusada. Publicar exige outro mantenedor, diferente de quem importou. Sem rascunho aberto com essa versão, a publicação informa a ausência. Os dois anexos sobem juntos. O motor lê a lista vigente. O rascunho não autoriza CNAE antes da publicação. Não há edição de um CNAE linha a linha.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anexos de escritório virtual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Anexos de escritório virtual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de CNAEs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publicar os anexos de sede e de abrigado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lista vigente do escritório virtual mude só na publicação feita por outra pessoa.</w:t>
      </w:r>
    </w:p>
    <w:p>
      <w:pPr>
        <w:pStyle w:val="Heading1"/>
      </w:pPr>
      <w:r>
        <w:t>HISTÓRIA DE USUÁRIO: Manter anexos de escritório virtual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autorizado a manter CNAEs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as duas planilhas para um rascunho, ver a diferença e publicar com outro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versão vigente permaneça até essa publicação.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Mantenedor autorizado a manter CNAEs</w:t>
      </w:r>
    </w:p>
    <w:p>
      <w:pPr>
        <w:jc w:val="both"/>
      </w:pPr>
      <w:r>
        <w:rPr>
          <w:rFonts w:ascii="Arial" w:hAnsi="Arial"/>
          <w:sz w:val="24"/>
        </w:rPr>
        <w:t>• Versão nova, em letras minúsculas, números e hífen, com até 60 caracteres</w:t>
      </w:r>
    </w:p>
    <w:p>
      <w:pPr>
        <w:jc w:val="both"/>
      </w:pPr>
      <w:r>
        <w:rPr>
          <w:rFonts w:ascii="Arial" w:hAnsi="Arial"/>
          <w:sz w:val="24"/>
        </w:rPr>
        <w:t>• Fonte informada e as duas planilhas, Anexo A e Anexo B</w:t>
      </w:r>
    </w:p>
    <w:p>
      <w:pPr>
        <w:jc w:val="both"/>
      </w:pPr>
      <w:r>
        <w:rPr>
          <w:rFonts w:ascii="Arial" w:hAnsi="Arial"/>
          <w:sz w:val="24"/>
        </w:rPr>
        <w:t>• Outro mantenedor, diferente do autor do rascunho, para publicar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Anexos de escritório virtual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Anexos escritório virtual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nexos-ev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Rascunho sem trocar 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uma versão vigente e o mantenedor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importa as duas planilhas numa versão nova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rascunho com a contagem de cada anexo e a vigente permanece</w:t>
      </w:r>
    </w:p>
    <w:p/>
    <w:p>
      <w:r>
        <w:rPr>
          <w:rFonts w:ascii="Arial" w:hAnsi="Arial"/>
          <w:b/>
          <w:sz w:val="22"/>
        </w:rPr>
        <w:t>Cenário 2: Publicação pelo autor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é o autor do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</w:t>
      </w:r>
    </w:p>
    <w:p/>
    <w:p>
      <w:r>
        <w:rPr>
          <w:rFonts w:ascii="Arial" w:hAnsi="Arial"/>
          <w:b/>
          <w:sz w:val="22"/>
        </w:rPr>
        <w:t>Cenário 3: Publicação por outro mantenedor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outro mantenedor autorizado a manter CNAEs abre 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mensagem confirma a atualização dos anexos vigentes</w:t>
      </w:r>
    </w:p>
    <w:p/>
    <w:p>
      <w:r>
        <w:rPr>
          <w:rFonts w:ascii="Arial" w:hAnsi="Arial"/>
          <w:b/>
          <w:sz w:val="22"/>
        </w:rPr>
        <w:t>Cenário 4: Versão mal formada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versão tem letra maiúscula ou espaço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é recusada</w:t>
      </w:r>
    </w:p>
    <w:p/>
    <w:p>
      <w:r>
        <w:rPr>
          <w:rFonts w:ascii="Arial" w:hAnsi="Arial"/>
          <w:b/>
          <w:sz w:val="22"/>
        </w:rPr>
        <w:t>Cenário 5: Sem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versão não está em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publicar esse nome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informa que não há rascunho aberto com essa versão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HU.022 - MANTER ANEXOS DE ESCRITÓRIO VIRTUAL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5" Type="http://schemas.openxmlformats.org/officeDocument/2006/relationships/image" Target="media/image5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