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HU.024 – MANTER VIAS DO MOTOR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mantenedor cadastra as vias que o Quadro 11A precisa citar para ser publicado. A lista devolve todas, ordenadas por código, sem paginação. Cada item mostra código, nome e situação. Incluir grava código, nome e situação. Via nova nasce ativa quando a situação não vem. Na edição mudam o nome e, se vier, a situação. O código enviado é ignorado. Sem informar a situação, ela permanece. Não há exclusão. Quadros vigentes que já citam a via permanecem. Publicação nova de rascunho do Quadro 11A que cite via inativa ou inexistente é bloqueada, e a mensagem da tela diz isso. Esta tela guarda código e nome da via do Quadro 11A. Não cadastra logradouro geográfico.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vias do motor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Vias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mantenedor da LOUOS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as vias que o Quadro 11A cita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publicação nova recuse via inexistente ou inativa.</w:t>
      </w:r>
    </w:p>
    <w:p>
      <w:pPr>
        <w:pStyle w:val="Heading1"/>
      </w:pPr>
      <w:r>
        <w:t>HISTÓRIA DE USUÁRIO: Manter vias do motor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mantenedor autorizado a manter a LOUOS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 a via e desativá-la quando deixar de valer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quadro vigente permaneça e o código não mude depois do cadastro.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Mantenedor autorizado a manter a LOUOS</w:t>
      </w:r>
    </w:p>
    <w:p>
      <w:pPr>
        <w:jc w:val="both"/>
      </w:pPr>
      <w:r>
        <w:rPr>
          <w:rFonts w:ascii="Arial" w:hAnsi="Arial"/>
          <w:sz w:val="24"/>
        </w:rPr>
        <w:t>• Código ainda não usado, com até 50 caracteres, no cadastro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A publicação do rascunho do Quadro 11A exige via existente e ativa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Vias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Vias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via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Cadastro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mantenedor está autorizado e informa um código ainda não usado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cadastra o nome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via nasce ativa se a situação não for informada</w:t>
      </w:r>
    </w:p>
    <w:p/>
    <w:p>
      <w:r>
        <w:rPr>
          <w:rFonts w:ascii="Arial" w:hAnsi="Arial"/>
          <w:b/>
          <w:sz w:val="22"/>
        </w:rPr>
        <w:t>Cenário 2: Código imutável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via já está gravada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edição envia outro código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código armazenado permanece</w:t>
      </w:r>
    </w:p>
    <w:p/>
    <w:p>
      <w:r>
        <w:rPr>
          <w:rFonts w:ascii="Arial" w:hAnsi="Arial"/>
          <w:b/>
          <w:sz w:val="22"/>
        </w:rPr>
        <w:t>Cenário 3: Desativar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via está ativa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mantenedor desativa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via fica inativa, os quadros vigentes que já a citam permanecem e a mensagem informa que publicação nova do Quadro 11A que a cite será bloqueada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HU.024 - MANTER VIAS DO MOTOR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64" Type="http://schemas.openxmlformats.org/officeDocument/2006/relationships/image" Target="media/image5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