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rPr>
          <w:rFonts w:ascii="Arial" w:hAnsi="Arial"/>
          <w:b/>
          <w:sz w:val="28"/>
        </w:rPr>
        <w:t xml:space="preserve">HU.026 – CONSULTAR CAMADAS GEOGRÁFICAS</w:t>
      </w:r>
    </w:p>
    <w:p>
      <w:pPr>
        <w:jc w:val="center"/>
      </w:pPr>
      <w:r>
        <w:rPr>
          <w:rFonts w:ascii="Arial" w:hAnsi="Arial"/>
          <w:b/>
          <w:sz w:val="28"/>
        </w:rPr>
        <w:t>PROJETO: Viabiliza — Sistema de Licenciamento Eletrônico</w:t>
      </w:r>
    </w:p>
    <w:p>
      <w:r>
        <w:br w:type="page"/>
      </w:r>
    </w:p>
    <w:tbl>
      <w:tblPr>
        <w:tblW w:type="auto" w:w="0"/>
        <w:tblLook w:firstColumn="1" w:firstRow="1" w:lastColumn="0" w:lastRow="0" w:noHBand="0" w:noVBand="1" w:val="04A0"/>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Grid>
        <w:gridCol w:w="2412"/>
        <w:gridCol w:w="2412"/>
        <w:gridCol w:w="2412"/>
        <w:gridCol w:w="2412"/>
      </w:tblGrid>
      <w:tr>
        <w:tc>
          <w:tcPr>
            <w:tcW w:type="dxa" w:w="9648"/>
            <w:gridSpan w:val="4"/>
            <w:shd w:fill="3c7ab5"/>
          </w:tcPr>
          <w:p>
            <w:pPr>
              <w:jc w:val="center"/>
            </w:pPr>
            <w:r/>
            <w:r>
              <w:rPr>
                <w:rFonts w:ascii="Arial" w:hAnsi="Arial"/>
                <w:b/>
                <w:color w:val="FFFFFF"/>
                <w:sz w:val="22"/>
              </w:rPr>
              <w:t>HISTÓRICO DE REVISÃO</w:t>
            </w:r>
          </w:p>
        </w:tc>
      </w:tr>
      <w:tr>
        <w:tc>
          <w:tcPr>
            <w:tcW w:type="dxa" w:w="2412"/>
            <w:shd w:fill="235789"/>
          </w:tcPr>
          <w:p>
            <w:pPr>
              <w:jc w:val="center"/>
            </w:pPr>
            <w:r/>
            <w:r>
              <w:rPr>
                <w:rFonts w:ascii="Arial" w:hAnsi="Arial"/>
                <w:b/>
                <w:color w:val="FFFFFF"/>
                <w:sz w:val="22"/>
              </w:rPr>
              <w:t>DATA</w:t>
            </w:r>
          </w:p>
        </w:tc>
        <w:tc>
          <w:tcPr>
            <w:tcW w:type="dxa" w:w="2412"/>
            <w:shd w:fill="235789"/>
          </w:tcPr>
          <w:p>
            <w:pPr>
              <w:jc w:val="center"/>
            </w:pPr>
            <w:r/>
            <w:r>
              <w:rPr>
                <w:rFonts w:ascii="Arial" w:hAnsi="Arial"/>
                <w:b/>
                <w:color w:val="FFFFFF"/>
                <w:sz w:val="22"/>
              </w:rPr>
              <w:t>RESUMO DAS ALTERAÇÕES</w:t>
            </w:r>
          </w:p>
        </w:tc>
        <w:tc>
          <w:tcPr>
            <w:tcW w:type="dxa" w:w="2412"/>
            <w:shd w:fill="235789"/>
          </w:tcPr>
          <w:p>
            <w:pPr>
              <w:jc w:val="center"/>
            </w:pPr>
            <w:r/>
            <w:r>
              <w:rPr>
                <w:rFonts w:ascii="Arial" w:hAnsi="Arial"/>
                <w:b/>
                <w:color w:val="FFFFFF"/>
                <w:sz w:val="22"/>
              </w:rPr>
              <w:t>VERSÃO</w:t>
            </w:r>
          </w:p>
        </w:tc>
        <w:tc>
          <w:tcPr>
            <w:tcW w:type="dxa" w:w="2412"/>
            <w:shd w:fill="235789"/>
          </w:tcPr>
          <w:p>
            <w:pPr>
              <w:jc w:val="center"/>
            </w:pPr>
            <w:r/>
            <w:r>
              <w:rPr>
                <w:rFonts w:ascii="Arial" w:hAnsi="Arial"/>
                <w:b/>
                <w:color w:val="FFFFFF"/>
                <w:sz w:val="22"/>
              </w:rPr>
              <w:t>Responsável</w:t>
            </w:r>
          </w:p>
        </w:tc>
      </w:tr>
      <w:tr>
        <w:tc>
          <w:tcPr>
            <w:tcW w:type="dxa" w:w="2412"/>
          </w:tcPr>
          <w:p>
            <w:pPr>
              <w:jc w:val="center"/>
            </w:pPr>
            <w:r/>
            <w:r>
              <w:rPr>
                <w:rFonts w:ascii="Arial" w:hAnsi="Arial"/>
                <w:b w:val="0"/>
                <w:sz w:val="20"/>
              </w:rPr>
              <w:t>16/10/2026</w:t>
            </w:r>
          </w:p>
        </w:tc>
        <w:tc>
          <w:tcPr>
            <w:tcW w:type="dxa" w:w="2412"/>
          </w:tcPr>
          <w:p>
            <w:pPr>
              <w:jc w:val="left"/>
            </w:pPr>
            <w:r/>
            <w:r>
              <w:rPr>
                <w:rFonts w:ascii="Arial" w:hAnsi="Arial"/>
                <w:sz w:val="20"/>
              </w:rPr>
              <w:t>Texto revisto para a linguagem de quem usa o sistema</w:t>
            </w:r>
          </w:p>
        </w:tc>
        <w:tc>
          <w:tcPr>
            <w:tcW w:type="dxa" w:w="2412"/>
          </w:tcPr>
          <w:p>
            <w:pPr>
              <w:jc w:val="center"/>
            </w:pPr>
            <w:r/>
            <w:r>
              <w:rPr>
                <w:rFonts w:ascii="Arial" w:hAnsi="Arial"/>
                <w:b w:val="0"/>
                <w:sz w:val="20"/>
              </w:rPr>
              <w:t>2.1</w:t>
            </w:r>
          </w:p>
        </w:tc>
        <w:tc>
          <w:tcPr>
            <w:tcW w:type="dxa" w:w="2412"/>
          </w:tcPr>
          <w:p>
            <w:pPr>
              <w:jc w:val="center"/>
            </w:pPr>
            <w:r/>
            <w:r>
              <w:rPr>
                <w:rFonts w:ascii="Arial" w:hAnsi="Arial"/>
                <w:b w:val="0"/>
                <w:sz w:val="20"/>
              </w:rPr>
              <w:t>Sudoeste Informática</w:t>
            </w:r>
          </w:p>
        </w:tc>
      </w:tr>
      <w:tr>
        <w:tc>
          <w:tcPr>
            <w:tcW w:type="dxa" w:w="2412"/>
          </w:tcPr>
          <w:p>
            <w:pPr>
              <w:jc w:val="center"/>
            </w:pPr>
            <w:r/>
            <w:r>
              <w:rPr>
                <w:rFonts w:ascii="Arial" w:hAnsi="Arial"/>
                <w:b w:val="0"/>
                <w:sz w:val="20"/>
              </w:rPr>
              <w:t xml:space="preserve">19/10/2026</w:t>
            </w:r>
          </w:p>
        </w:tc>
        <w:tc>
          <w:tcPr>
            <w:tcW w:type="dxa" w:w="2412"/>
          </w:tcPr>
          <w:p>
            <w:pPr>
              <w:jc w:val="left"/>
            </w:pPr>
            <w:r/>
            <w:r>
              <w:rPr>
                <w:rFonts w:ascii="Arial" w:hAnsi="Arial"/>
                <w:sz w:val="20"/>
              </w:rPr>
              <w:t xml:space="preserve">Retirada das HUs sem funcionalidade no sistema, renumeração e reordenação das demais (retaguarda primeiro, portal depois)</w:t>
            </w:r>
          </w:p>
        </w:tc>
        <w:tc>
          <w:tcPr>
            <w:tcW w:type="dxa" w:w="2412"/>
          </w:tcPr>
          <w:p>
            <w:pPr>
              <w:jc w:val="center"/>
            </w:pPr>
            <w:r/>
            <w:r>
              <w:rPr>
                <w:rFonts w:ascii="Arial" w:hAnsi="Arial"/>
                <w:b w:val="0"/>
                <w:sz w:val="20"/>
              </w:rPr>
              <w:t xml:space="preserve">2.2</w:t>
            </w:r>
          </w:p>
        </w:tc>
        <w:tc>
          <w:tcPr>
            <w:tcW w:type="dxa" w:w="2412"/>
          </w:tcPr>
          <w:p>
            <w:pPr>
              <w:jc w:val="center"/>
            </w:pPr>
            <w:r/>
            <w:r>
              <w:rPr>
                <w:rFonts w:ascii="Arial" w:hAnsi="Arial"/>
                <w:b w:val="0"/>
                <w:sz w:val="20"/>
              </w:rPr>
              <w:t xml:space="preserve">Sudoeste Informática</w:t>
            </w:r>
          </w:p>
        </w:tc>
      </w:tr>
    </w:tbl>
    <w:p>
      <w:r>
        <w:br w:type="page"/>
      </w:r>
    </w:p>
    <w:p>
      <w:pPr>
        <w:jc w:val="center"/>
      </w:pPr>
      <w:r>
        <w:rPr>
          <w:rFonts w:ascii="Arial" w:hAnsi="Arial"/>
          <w:b/>
          <w:sz w:val="30"/>
        </w:rPr>
        <w:t>VISÃO GERAL</w:t>
      </w:r>
    </w:p>
    <w:p>
      <w:pPr>
        <w:jc w:val="both"/>
      </w:pPr>
      <w:r>
        <w:rPr>
          <w:rFonts w:ascii="Arial" w:hAnsi="Arial"/>
          <w:sz w:val="24"/>
        </w:rPr>
        <w:t>O administrador vê a versão vigente de cada tipo de camada local e importa um arquivo de feições geográficas, abrindo nova versão vigente sem apagar a anterior. Os cinco tipos são bairro, zona urbanística, via, lote e restrição territorial. Cada versão mostra situação (vigente, substituída ou pendente de fonte), origem, vigência e quantidade de feições. Zona e lote aparecem como fonte bloqueada. A consulta territorial mostra o status das camadas abertas, sem importar arquivo. Fora da base geográfica oficial, a importação é recusada e nada é criado. Arquivo inválido é recusado. Arquivo válido torna a nova versão vigente e fecha a anterior, sem apagá-la. A mensagem informa versão, feições lidas, inseridas e, se houver, as inválidas não inseridas, até cinco motivos. O arquivo aceita até o tamanho definido, vinte megabytes se outro limite não estiver definido. Não há exclusão de versão já importada, edição de uma feição na tela nem publicação da camada no serviço de mapas a partir deste formulário.</w:t>
      </w:r>
    </w:p>
    <w:p/>
    <w:p>
      <w:pPr>
        <w:jc w:val="center"/>
      </w:pPr>
      <w:r>
        <w:rPr>
          <w:rFonts w:ascii="Arial" w:hAnsi="Arial"/>
          <w:b/>
          <w:sz w:val="30"/>
        </w:rPr>
        <w:t>SUMÁRIO</w:t>
      </w:r>
    </w:p>
    <w:p/>
    <w:p>
      <w:r>
        <w:rPr>
          <w:rFonts w:ascii="Arial" w:hAnsi="Arial"/>
          <w:sz w:val="22"/>
        </w:rPr>
        <w:t>ÉPICO: EP04 — Georreferenciamento e Território</w:t>
      </w:r>
    </w:p>
    <w:p>
      <w:r>
        <w:rPr>
          <w:rFonts w:ascii="Arial" w:hAnsi="Arial"/>
          <w:sz w:val="22"/>
        </w:rPr>
        <w:t>HISTÓRIA DE USUÁRIO: Consultar camadas geográficas</w:t>
      </w:r>
    </w:p>
    <w:p>
      <w:r>
        <w:rPr>
          <w:rFonts w:ascii="Arial" w:hAnsi="Arial"/>
          <w:sz w:val="22"/>
        </w:rPr>
        <w:t>PRÉ-REQUISITOS</w:t>
      </w:r>
    </w:p>
    <w:p>
      <w:r>
        <w:rPr>
          <w:rFonts w:ascii="Arial" w:hAnsi="Arial"/>
          <w:sz w:val="22"/>
        </w:rPr>
        <w:t>DEPENDÊNCIAS</w:t>
      </w:r>
    </w:p>
    <w:p>
      <w:r>
        <w:rPr>
          <w:rFonts w:ascii="Arial" w:hAnsi="Arial"/>
          <w:sz w:val="22"/>
        </w:rPr>
        <w:t>INTERFACE DE USUÁRIO</w:t>
      </w:r>
    </w:p>
    <w:p>
      <w:r>
        <w:rPr>
          <w:rFonts w:ascii="Arial" w:hAnsi="Arial"/>
          <w:sz w:val="22"/>
        </w:rPr>
        <w:t xml:space="preserve">  TELA 1 - Camadas geográficas</w:t>
      </w:r>
    </w:p>
    <w:p>
      <w:r>
        <w:rPr>
          <w:rFonts w:ascii="Arial" w:hAnsi="Arial"/>
          <w:sz w:val="22"/>
        </w:rPr>
        <w:t xml:space="preserve">  COMPORTAMENTO ESPERADO TELA 1</w:t>
      </w:r>
    </w:p>
    <w:p>
      <w:r>
        <w:br w:type="page"/>
      </w:r>
    </w:p>
    <w:p>
      <w:pPr>
        <w:pStyle w:val="Heading1"/>
      </w:pPr>
      <w:r>
        <w:t>ÉPICO: EP04 — Georreferenciamento e Território</w:t>
      </w:r>
    </w:p>
    <w:p>
      <w:pPr>
        <w:jc w:val="both"/>
      </w:pPr>
      <w:r>
        <w:rPr>
          <w:rFonts w:ascii="Arial" w:hAnsi="Arial"/>
          <w:b/>
          <w:sz w:val="24"/>
        </w:rPr>
        <w:t xml:space="preserve">Como </w:t>
      </w:r>
      <w:r>
        <w:rPr>
          <w:rFonts w:ascii="Arial" w:hAnsi="Arial"/>
          <w:b w:val="0"/>
          <w:sz w:val="24"/>
        </w:rPr>
        <w:t>a SEDUR</w:t>
      </w:r>
      <w:r>
        <w:rPr>
          <w:rFonts w:ascii="Arial" w:hAnsi="Arial"/>
          <w:b/>
          <w:sz w:val="24"/>
        </w:rPr>
        <w:t xml:space="preserve"> quero </w:t>
      </w:r>
      <w:r>
        <w:rPr>
          <w:rFonts w:ascii="Arial" w:hAnsi="Arial"/>
          <w:b w:val="0"/>
          <w:sz w:val="24"/>
        </w:rPr>
        <w:t>versionar as camadas geográficas locais</w:t>
      </w:r>
      <w:r>
        <w:rPr>
          <w:rFonts w:ascii="Arial" w:hAnsi="Arial"/>
          <w:b/>
          <w:sz w:val="24"/>
        </w:rPr>
        <w:t xml:space="preserve">, de modo que </w:t>
      </w:r>
      <w:r>
        <w:rPr>
          <w:rFonts w:ascii="Arial" w:hAnsi="Arial"/>
          <w:b w:val="0"/>
          <w:sz w:val="24"/>
        </w:rPr>
        <w:t>a base territorial mude sem perder o histórico.</w:t>
      </w:r>
    </w:p>
    <w:p>
      <w:pPr>
        <w:pStyle w:val="Heading1"/>
      </w:pPr>
      <w:r>
        <w:t>HISTÓRIA DE USUÁRIO: Consultar camadas geográficas</w:t>
      </w:r>
    </w:p>
    <w:p>
      <w:pPr>
        <w:jc w:val="both"/>
      </w:pPr>
      <w:r>
        <w:rPr>
          <w:rFonts w:ascii="Arial" w:hAnsi="Arial"/>
          <w:b/>
          <w:sz w:val="24"/>
        </w:rPr>
        <w:t xml:space="preserve">Como </w:t>
      </w:r>
      <w:r>
        <w:rPr>
          <w:rFonts w:ascii="Arial" w:hAnsi="Arial"/>
          <w:b w:val="0"/>
          <w:sz w:val="24"/>
        </w:rPr>
        <w:t>administrador</w:t>
      </w:r>
      <w:r>
        <w:rPr>
          <w:rFonts w:ascii="Arial" w:hAnsi="Arial"/>
          <w:b/>
          <w:sz w:val="24"/>
        </w:rPr>
        <w:t xml:space="preserve"> quero </w:t>
      </w:r>
      <w:r>
        <w:rPr>
          <w:rFonts w:ascii="Arial" w:hAnsi="Arial"/>
          <w:b w:val="0"/>
          <w:sz w:val="24"/>
        </w:rPr>
        <w:t>ver a versão vigente de cada tipo de camada e importar um arquivo de feições</w:t>
      </w:r>
      <w:r>
        <w:rPr>
          <w:rFonts w:ascii="Arial" w:hAnsi="Arial"/>
          <w:b/>
          <w:sz w:val="24"/>
        </w:rPr>
        <w:t xml:space="preserve">, de modo que </w:t>
      </w:r>
      <w:r>
        <w:rPr>
          <w:rFonts w:ascii="Arial" w:hAnsi="Arial"/>
          <w:b w:val="0"/>
          <w:sz w:val="24"/>
        </w:rPr>
        <w:t>eu troque a base territorial sem publicação de versão do sistema.</w:t>
      </w:r>
    </w:p>
    <w:p>
      <w:pPr>
        <w:pStyle w:val="Heading1"/>
      </w:pPr>
      <w:r>
        <w:t>PRÉ-REQUISITOS</w:t>
      </w:r>
    </w:p>
    <w:p>
      <w:pPr>
        <w:jc w:val="both"/>
      </w:pPr>
      <w:r>
        <w:rPr>
          <w:rFonts w:ascii="Arial" w:hAnsi="Arial"/>
          <w:sz w:val="24"/>
        </w:rPr>
        <w:t>• Administrador que mantém o território</w:t>
      </w:r>
    </w:p>
    <w:p>
      <w:pPr>
        <w:jc w:val="both"/>
      </w:pPr>
      <w:r>
        <w:rPr>
          <w:rFonts w:ascii="Arial" w:hAnsi="Arial"/>
          <w:sz w:val="24"/>
        </w:rPr>
        <w:t>• Tipo obrigatório, entre os cinco da lista</w:t>
      </w:r>
    </w:p>
    <w:p>
      <w:pPr>
        <w:jc w:val="both"/>
      </w:pPr>
      <w:r>
        <w:rPr>
          <w:rFonts w:ascii="Arial" w:hAnsi="Arial"/>
          <w:sz w:val="24"/>
        </w:rPr>
        <w:t>• Versão obrigatória, com até 100 caracteres; origem opcional, com até 255</w:t>
      </w:r>
    </w:p>
    <w:p>
      <w:pPr>
        <w:jc w:val="both"/>
      </w:pPr>
      <w:r>
        <w:rPr>
          <w:rFonts w:ascii="Arial" w:hAnsi="Arial"/>
          <w:sz w:val="24"/>
        </w:rPr>
        <w:t>• Arquivo obrigatório, até o limite definido</w:t>
      </w:r>
    </w:p>
    <w:p>
      <w:pPr>
        <w:jc w:val="both"/>
      </w:pPr>
      <w:r>
        <w:rPr>
          <w:rFonts w:ascii="Arial" w:hAnsi="Arial"/>
          <w:sz w:val="24"/>
        </w:rPr>
        <w:t>• Base geográfica oficial disponível</w:t>
      </w:r>
    </w:p>
    <w:p>
      <w:pPr>
        <w:pStyle w:val="Heading1"/>
      </w:pPr>
      <w:r>
        <w:t>DEPENDÊNCIAS</w:t>
      </w:r>
    </w:p>
    <w:p>
      <w:r>
        <w:rPr>
          <w:b/>
          <w:sz w:val="24"/>
        </w:rPr>
        <w:t>Passadas</w:t>
      </w:r>
    </w:p>
    <w:p>
      <w:pPr>
        <w:jc w:val="both"/>
      </w:pPr>
      <w:r>
        <w:rPr>
          <w:rFonts w:ascii="Arial" w:hAnsi="Arial"/>
          <w:sz w:val="24"/>
        </w:rPr>
        <w:t>• Nenhuma</w:t>
      </w:r>
    </w:p>
    <w:p/>
    <w:p>
      <w:r>
        <w:rPr>
          <w:b/>
          <w:sz w:val="24"/>
        </w:rPr>
        <w:t>Futuras</w:t>
      </w:r>
    </w:p>
    <w:p>
      <w:pPr>
        <w:jc w:val="both"/>
      </w:pPr>
      <w:r>
        <w:rPr>
          <w:rFonts w:ascii="Arial" w:hAnsi="Arial"/>
          <w:sz w:val="24"/>
        </w:rPr>
        <w:t xml:space="preserve">• HU-039 — a consulta territorial lê as camadas vigentes importadas aqui</w:t>
      </w:r>
    </w:p>
    <w:p>
      <w:pPr>
        <w:pStyle w:val="Heading1"/>
      </w:pPr>
      <w:r>
        <w:t>INTERFACE DE USUÁRIO</w:t>
      </w:r>
    </w:p>
    <w:p>
      <w:pPr>
        <w:pStyle w:val="Heading2"/>
      </w:pPr>
      <w:r>
        <w:t>TELA 1 - Camadas geográficas</w:t>
      </w:r>
    </w:p>
    <w:p>
      <w:r>
        <w:rPr>
          <w:b/>
          <w:sz w:val="22"/>
        </w:rPr>
        <w:t xml:space="preserve">Caminho no menu: </w:t>
      </w:r>
      <w:r>
        <w:rPr>
          <w:sz w:val="22"/>
        </w:rPr>
        <w:t>Território &gt; Camadas geográficas</w:t>
      </w:r>
    </w:p>
    <w:p/>
    <w:p>
      <w:pPr>
        <w:jc w:val="center"/>
      </w:pPr>
      <w:r>
        <w:drawing>
          <wp:inline xmlns:a="http://schemas.openxmlformats.org/drawingml/2006/main" xmlns:pic="http://schemas.openxmlformats.org/drawingml/2006/picture">
            <wp:extent cx="5760720" cy="3600450"/>
            <wp:docPr id="1" name="Picture 1"/>
            <wp:cNvGraphicFramePr>
              <a:graphicFrameLocks noChangeAspect="1"/>
            </wp:cNvGraphicFramePr>
            <a:graphic>
              <a:graphicData uri="http://schemas.openxmlformats.org/drawingml/2006/picture">
                <pic:pic>
                  <pic:nvPicPr>
                    <pic:cNvPr id="0" name="gestao-camadas.png"/>
                    <pic:cNvPicPr/>
                  </pic:nvPicPr>
                  <pic:blipFill>
                    <a:blip r:embed="rId25"/>
                    <a:stretch>
                      <a:fillRect/>
                    </a:stretch>
                  </pic:blipFill>
                  <pic:spPr>
                    <a:xfrm>
                      <a:off x="0" y="0"/>
                      <a:ext cx="5760720" cy="3600450"/>
                    </a:xfrm>
                    <a:prstGeom prst="rect"/>
                  </pic:spPr>
                </pic:pic>
              </a:graphicData>
            </a:graphic>
          </wp:inline>
        </w:drawing>
      </w:r>
    </w:p>
    <w:p/>
    <w:p>
      <w:pPr>
        <w:pStyle w:val="Heading3"/>
      </w:pPr>
      <w:r>
        <w:t>COMPORTAMENTO ESPERADO TELA 1</w:t>
      </w:r>
    </w:p>
    <w:p>
      <w:r>
        <w:rPr>
          <w:rFonts w:ascii="Arial" w:hAnsi="Arial"/>
          <w:b/>
          <w:sz w:val="22"/>
        </w:rPr>
        <w:t>Cenário 1: Lista dos cinco tipos</w:t>
      </w:r>
    </w:p>
    <w:p>
      <w:r>
        <w:rPr>
          <w:rFonts w:ascii="Arial" w:hAnsi="Arial"/>
          <w:b/>
          <w:sz w:val="22"/>
        </w:rPr>
        <w:t xml:space="preserve">Dado que </w:t>
      </w:r>
      <w:r>
        <w:rPr>
          <w:rFonts w:ascii="Arial" w:hAnsi="Arial"/>
          <w:sz w:val="22"/>
        </w:rPr>
        <w:t>o administrador abre as camadas</w:t>
      </w:r>
    </w:p>
    <w:p>
      <w:r>
        <w:rPr>
          <w:rFonts w:ascii="Arial" w:hAnsi="Arial"/>
          <w:b/>
          <w:sz w:val="22"/>
        </w:rPr>
        <w:t xml:space="preserve">Quando </w:t>
      </w:r>
      <w:r>
        <w:rPr>
          <w:rFonts w:ascii="Arial" w:hAnsi="Arial"/>
          <w:sz w:val="22"/>
        </w:rPr>
        <w:t>a listagem carrega</w:t>
      </w:r>
    </w:p>
    <w:p>
      <w:r>
        <w:rPr>
          <w:rFonts w:ascii="Arial" w:hAnsi="Arial"/>
          <w:b/>
          <w:sz w:val="22"/>
        </w:rPr>
        <w:t xml:space="preserve">Então </w:t>
      </w:r>
      <w:r>
        <w:rPr>
          <w:rFonts w:ascii="Arial" w:hAnsi="Arial"/>
          <w:sz w:val="22"/>
        </w:rPr>
        <w:t>os cinco tipos aparecem com a vigente, quando houver, e o histórico de versões</w:t>
      </w:r>
    </w:p>
    <w:p/>
    <w:p>
      <w:r>
        <w:rPr>
          <w:rFonts w:ascii="Arial" w:hAnsi="Arial"/>
          <w:b/>
          <w:sz w:val="22"/>
        </w:rPr>
        <w:t>Cenário 2: Fora da base geográfica oficial</w:t>
      </w:r>
    </w:p>
    <w:p>
      <w:r>
        <w:rPr>
          <w:rFonts w:ascii="Arial" w:hAnsi="Arial"/>
          <w:b/>
          <w:sz w:val="22"/>
        </w:rPr>
        <w:t xml:space="preserve">Dado que </w:t>
      </w:r>
      <w:r>
        <w:rPr>
          <w:rFonts w:ascii="Arial" w:hAnsi="Arial"/>
          <w:sz w:val="22"/>
        </w:rPr>
        <w:t>a base em uso não é a geográfica oficial</w:t>
      </w:r>
    </w:p>
    <w:p>
      <w:r>
        <w:rPr>
          <w:rFonts w:ascii="Arial" w:hAnsi="Arial"/>
          <w:b/>
          <w:sz w:val="22"/>
        </w:rPr>
        <w:t xml:space="preserve">Quando </w:t>
      </w:r>
      <w:r>
        <w:rPr>
          <w:rFonts w:ascii="Arial" w:hAnsi="Arial"/>
          <w:sz w:val="22"/>
        </w:rPr>
        <w:t>um arquivo de feições é enviado</w:t>
      </w:r>
    </w:p>
    <w:p>
      <w:r>
        <w:rPr>
          <w:rFonts w:ascii="Arial" w:hAnsi="Arial"/>
          <w:b/>
          <w:sz w:val="22"/>
        </w:rPr>
        <w:t xml:space="preserve">Então </w:t>
      </w:r>
      <w:r>
        <w:rPr>
          <w:rFonts w:ascii="Arial" w:hAnsi="Arial"/>
          <w:sz w:val="22"/>
        </w:rPr>
        <w:t>a importação é recusada e nenhum registro novo é criado</w:t>
      </w:r>
    </w:p>
    <w:p/>
    <w:p>
      <w:r>
        <w:rPr>
          <w:rFonts w:ascii="Arial" w:hAnsi="Arial"/>
          <w:b/>
          <w:sz w:val="22"/>
        </w:rPr>
        <w:t>Cenário 3: Arquivo válido</w:t>
      </w:r>
    </w:p>
    <w:p>
      <w:r>
        <w:rPr>
          <w:rFonts w:ascii="Arial" w:hAnsi="Arial"/>
          <w:b/>
          <w:sz w:val="22"/>
        </w:rPr>
        <w:t xml:space="preserve">Dado que </w:t>
      </w:r>
      <w:r>
        <w:rPr>
          <w:rFonts w:ascii="Arial" w:hAnsi="Arial"/>
          <w:sz w:val="22"/>
        </w:rPr>
        <w:t>a base geográfica oficial está em uso e o arquivo é válido</w:t>
      </w:r>
    </w:p>
    <w:p>
      <w:r>
        <w:rPr>
          <w:rFonts w:ascii="Arial" w:hAnsi="Arial"/>
          <w:b/>
          <w:sz w:val="22"/>
        </w:rPr>
        <w:t xml:space="preserve">Quando </w:t>
      </w:r>
      <w:r>
        <w:rPr>
          <w:rFonts w:ascii="Arial" w:hAnsi="Arial"/>
          <w:sz w:val="22"/>
        </w:rPr>
        <w:t>a importação conclui</w:t>
      </w:r>
    </w:p>
    <w:p>
      <w:r>
        <w:rPr>
          <w:rFonts w:ascii="Arial" w:hAnsi="Arial"/>
          <w:b/>
          <w:sz w:val="22"/>
        </w:rPr>
        <w:t xml:space="preserve">Então </w:t>
      </w:r>
      <w:r>
        <w:rPr>
          <w:rFonts w:ascii="Arial" w:hAnsi="Arial"/>
          <w:sz w:val="22"/>
        </w:rPr>
        <w:t>a nova versão fica vigente, a anterior deixa de ser a vigente, e a tela informa lidas, inseridas e inválidas</w:t>
      </w:r>
    </w:p>
    <w:p/>
    <w:sectPr w:rsidR="00FC693F" w:rsidRPr="0006063C" w:rsidSect="00034616">
      <w:headerReference w:type="default" r:id="rId9"/>
      <w:footerReference w:type="default" r:id="rId10"/>
      <w:pgSz w:w="12240" w:h="15840"/>
      <w:pgMar w:top="1728"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pacing w:after="0" w:before="0" w:line="240" w:lineRule="auto"/>
    </w:pPr>
    <w:r>
      <w:drawing>
        <wp:inline xmlns:a="http://schemas.openxmlformats.org/drawingml/2006/main" xmlns:pic="http://schemas.openxmlformats.org/drawingml/2006/picture">
          <wp:extent cx="6126480" cy="219456"/>
          <wp:docPr id="1" name="Picture 1"/>
          <wp:cNvGraphicFramePr>
            <a:graphicFrameLocks noChangeAspect="1"/>
          </wp:cNvGraphicFramePr>
          <a:graphic>
            <a:graphicData uri="http://schemas.openxmlformats.org/drawingml/2006/picture">
              <pic:pic>
                <pic:nvPicPr>
                  <pic:cNvPr id="0" name="footer_bar.png"/>
                  <pic:cNvPicPr/>
                </pic:nvPicPr>
                <pic:blipFill>
                  <a:blip r:embed="rId1"/>
                  <a:stretch>
                    <a:fillRect/>
                  </a:stretch>
                </pic:blipFill>
                <pic:spPr>
                  <a:xfrm>
                    <a:off x="0" y="0"/>
                    <a:ext cx="6126480" cy="219456"/>
                  </a:xfrm>
                  <a:prstGeom prst="rect"/>
                </pic:spPr>
              </pic:pic>
            </a:graphicData>
          </a:graphic>
        </wp:inline>
      </w:drawing>
    </w:r>
  </w:p>
  <w:p>
    <w:pPr>
      <w:jc w:val="right"/>
      <w:spacing w:after="0" w:before="0" w:line="240" w:lineRule="auto"/>
    </w:pPr>
    <w:r>
      <w:rPr>
        <w:sz w:val="16"/>
      </w:rPr>
      <w:t xml:space="preserve">Página </w:t>
    </w:r>
    <w:r>
      <w:fldChar w:fldCharType="begin"/>
      <w:instrText xml:space="preserve"> PAGE </w:instrText>
      <w:fldChar w:fldCharType="separate"/>
      <w:fldChar w:fldCharType="end"/>
    </w:r>
    <w:r>
      <w:rPr>
        <w:sz w:val="16"/>
      </w:rPr>
      <w:t xml:space="preserve"> de </w:t>
    </w:r>
    <w:r>
      <w:fldChar w:fldCharType="begin"/>
      <w:instrText xml:space="preserve"> NUMPAGES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spacing w:after="0" w:before="0" w:line="240" w:lineRule="auto"/>
    </w:pPr>
    <w:r>
      <w:drawing>
        <wp:inline xmlns:a="http://schemas.openxmlformats.org/drawingml/2006/main" xmlns:pic="http://schemas.openxmlformats.org/drawingml/2006/picture">
          <wp:extent cx="6126480" cy="914400"/>
          <wp:docPr id="1" name="Picture 1"/>
          <wp:cNvGraphicFramePr>
            <a:graphicFrameLocks noChangeAspect="1"/>
          </wp:cNvGraphicFramePr>
          <a:graphic>
            <a:graphicData uri="http://schemas.openxmlformats.org/drawingml/2006/picture">
              <pic:pic>
                <pic:nvPicPr>
                  <pic:cNvPr id="0" name="logo_sudoeste.png"/>
                  <pic:cNvPicPr/>
                </pic:nvPicPr>
                <pic:blipFill>
                  <a:blip r:embed="rId1"/>
                  <a:stretch>
                    <a:fillRect/>
                  </a:stretch>
                </pic:blipFill>
                <pic:spPr>
                  <a:xfrm>
                    <a:off x="0" y="0"/>
                    <a:ext cx="6126480" cy="914400"/>
                  </a:xfrm>
                  <a:prstGeom prst="rect"/>
                </pic:spPr>
              </pic:pic>
            </a:graphicData>
          </a:graphic>
        </wp:inline>
      </w:drawing>
    </w:r>
  </w:p>
  <w:p>
    <w:pPr>
      <w:spacing w:after="0" w:before="0" w:line="240" w:lineRule="auto"/>
    </w:pPr>
    <w:r>
      <w:rPr>
        <w:rFonts w:ascii="Arial" w:hAnsi="Arial"/>
        <w:sz w:val="16"/>
      </w:rPr>
      <w:t xml:space="preserve">HU.026 - CONSULTAR CAMADAS GEOGRÁFICAS - Versão 2.2 – 19/10/2026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25" Type="http://schemas.openxmlformats.org/officeDocument/2006/relationships/image" Target="media/image17.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