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HU.027 – MANTER QUADRO 7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Não há um cadastro próprio do Quadro 7. O enquadramento da atividade — identificação LOUOS, faixas de área, classificação e identificação da TLL — fica na planilha de tratamento, na aba Enquadramento do Motor de regras. Quem consulta CNAEs abre essa aba. Quem só consulta os quadros da LOUOS não a abre. A manutenção é o arquivo, não a linha avulsa: não há inclusão, edição ou exclusão de uma linha isolada. Importar uma planilha ainda não usada abre rascunho e informa quantas regras ficaram sem ramo explícito. A versão vigente só muda na publicação. O autor do rascunho pode publicar; esta planilha não exige outra pessoa. Arquivo já importado ou já vigente não gera versão nova.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7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Enquadramento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 enquadramento pela planilha de tratamento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identificação LOUOS e as faixas de área vigentes venham do arquivo publicado.</w:t>
      </w:r>
    </w:p>
    <w:p>
      <w:pPr>
        <w:pStyle w:val="Heading1"/>
      </w:pPr>
      <w:r>
        <w:t>HISTÓRIA DE USUÁRIO: Manter Quadro 7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a planilha de regras de tratamento e publicar 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enquadramento vigente passe a ser o da planilha importada.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da aba Enquadramento: quem consulta CNAEs</w:t>
      </w:r>
    </w:p>
    <w:p>
      <w:pPr>
        <w:jc w:val="both"/>
      </w:pPr>
      <w:r>
        <w:rPr>
          <w:rFonts w:ascii="Arial" w:hAnsi="Arial"/>
          <w:sz w:val="24"/>
        </w:rPr>
        <w:t>• Importar e publicar: administrador que mantém o motor de regras</w:t>
      </w:r>
    </w:p>
    <w:p>
      <w:pPr>
        <w:jc w:val="both"/>
      </w:pPr>
      <w:r>
        <w:rPr>
          <w:rFonts w:ascii="Arial" w:hAnsi="Arial"/>
          <w:sz w:val="24"/>
        </w:rPr>
        <w:t>• Arquivo de planilha, com até 20 MB</w:t>
      </w:r>
    </w:p>
    <w:p>
      <w:pPr>
        <w:jc w:val="both"/>
      </w:pPr>
      <w:r>
        <w:rPr>
          <w:rFonts w:ascii="Arial" w:hAnsi="Arial"/>
          <w:sz w:val="24"/>
        </w:rPr>
        <w:t>• Publicar só um rascunho desta planilha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HU-034 — a busca da lista usa o CNAE e a denominação da tabela oficial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HU-046 — o motor lê o ramo desta planilha vigente, e não um Quadro 7 separado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Enquadramento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Motor de regras &gt; Enquadramento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Consulta da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consulta CNAEs e existe versão vigente da planilha de tratamento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aba Enquadramento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 versão, as contagens e as linhas com identificação LOUOS, faixas de área e identificação da TLL</w:t>
      </w:r>
    </w:p>
    <w:p/>
    <w:p>
      <w:r>
        <w:rPr>
          <w:rFonts w:ascii="Arial" w:hAnsi="Arial"/>
          <w:b/>
          <w:sz w:val="22"/>
        </w:rPr>
        <w:t>Cenário 2: Importar planilha nova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envia uma planilha ainda não importada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arquivo é recebido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abre rascunho e a versão vigente permanece até a publicação</w:t>
      </w:r>
    </w:p>
    <w:p/>
    <w:p>
      <w:r>
        <w:rPr>
          <w:rFonts w:ascii="Arial" w:hAnsi="Arial"/>
          <w:b/>
          <w:sz w:val="22"/>
        </w:rPr>
        <w:t>Cenário 3: Arquivo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conteúdo do arquivo já gerou versão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importa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versão nova é criada e a mensagem informa que o arquivo já está vigente ou já foi importado</w:t>
      </w:r>
    </w:p>
    <w:p/>
    <w:p>
      <w:r>
        <w:rPr>
          <w:rFonts w:ascii="Arial" w:hAnsi="Arial"/>
          <w:b/>
          <w:sz w:val="22"/>
        </w:rPr>
        <w:t>Cenário 4: Publicar sem segunda pessoa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rascunho da planilha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autor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entra em uso; esta publicação não exige outro publicador</w:t>
      </w:r>
    </w:p>
    <w:p/>
    <w:p>
      <w:r>
        <w:rPr>
          <w:rFonts w:ascii="Arial" w:hAnsi="Arial"/>
          <w:b/>
          <w:sz w:val="22"/>
        </w:rPr>
        <w:t>Cenário 5: Arquivo que não é planilha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arquivo não é uma planilha no formato aceito ou não foi enviado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importar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pede a planilha de regras e informa que ela precisa ser do tipo aceito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HU.027 - MANTER QUADRO 7 -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