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/>
    <w:p/>
    <w:p/>
    <w:p/>
    <w:p/>
    <w:p/>
    <w:p>
      <w:pPr>
        <w:jc w:val="center"/>
      </w:pPr>
      <w:r>
        <w:rPr>
          <w:rFonts w:ascii="Arial" w:hAnsi="Arial"/>
          <w:b/>
          <w:sz w:val="28"/>
        </w:rPr>
        <w:t xml:space="preserve">HU.029 – MANTER QUADRO 11A</w:t>
      </w:r>
    </w:p>
    <w:p>
      <w:pPr>
        <w:jc w:val="center"/>
      </w:pPr>
      <w:r>
        <w:rPr>
          <w:rFonts w:ascii="Arial" w:hAnsi="Arial"/>
          <w:b/>
          <w:sz w:val="28"/>
        </w:rPr>
        <w:t>PROJETO: Viabiliza — Sistema de Licenciamento Eletrônico</w:t>
      </w:r>
    </w:p>
    <w:p>
      <w:r>
        <w:br w:type="page"/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</w:tblPr>
      <w:tblGrid>
        <w:gridCol w:w="2412"/>
        <w:gridCol w:w="2412"/>
        <w:gridCol w:w="2412"/>
        <w:gridCol w:w="2412"/>
      </w:tblGrid>
      <w:tr>
        <w:tc>
          <w:tcPr>
            <w:tcW w:type="dxa" w:w="9648"/>
            <w:gridSpan w:val="4"/>
            <w:shd w:fill="3c7ab5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22"/>
              </w:rPr>
              <w:t>HISTÓRICO DE REVISÃO</w:t>
            </w:r>
          </w:p>
        </w:tc>
      </w:tr>
      <w:tr>
        <w:tc>
          <w:tcPr>
            <w:tcW w:type="dxa" w:w="2412"/>
            <w:shd w:fill="235789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22"/>
              </w:rPr>
              <w:t>DATA</w:t>
            </w:r>
          </w:p>
        </w:tc>
        <w:tc>
          <w:tcPr>
            <w:tcW w:type="dxa" w:w="2412"/>
            <w:shd w:fill="235789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22"/>
              </w:rPr>
              <w:t>RESUMO DAS ALTERAÇÕES</w:t>
            </w:r>
          </w:p>
        </w:tc>
        <w:tc>
          <w:tcPr>
            <w:tcW w:type="dxa" w:w="2412"/>
            <w:shd w:fill="235789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22"/>
              </w:rPr>
              <w:t>VERSÃO</w:t>
            </w:r>
          </w:p>
        </w:tc>
        <w:tc>
          <w:tcPr>
            <w:tcW w:type="dxa" w:w="2412"/>
            <w:shd w:fill="235789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22"/>
              </w:rPr>
              <w:t>Responsável</w:t>
            </w:r>
          </w:p>
        </w:tc>
      </w:tr>
      <w:tr>
        <w:tc>
          <w:tcPr>
            <w:tcW w:type="dxa" w:w="2412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20"/>
              </w:rPr>
              <w:t>16/10/2026</w:t>
            </w:r>
          </w:p>
        </w:tc>
        <w:tc>
          <w:tcPr>
            <w:tcW w:type="dxa" w:w="2412"/>
          </w:tcPr>
          <w:p>
            <w:pPr>
              <w:jc w:val="left"/>
            </w:pPr>
            <w:r/>
            <w:r>
              <w:rPr>
                <w:rFonts w:ascii="Arial" w:hAnsi="Arial"/>
                <w:sz w:val="20"/>
              </w:rPr>
              <w:t>Texto revisto para a linguagem de quem usa o sistema</w:t>
            </w:r>
          </w:p>
        </w:tc>
        <w:tc>
          <w:tcPr>
            <w:tcW w:type="dxa" w:w="2412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20"/>
              </w:rPr>
              <w:t>2.1</w:t>
            </w:r>
          </w:p>
        </w:tc>
        <w:tc>
          <w:tcPr>
            <w:tcW w:type="dxa" w:w="2412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20"/>
              </w:rPr>
              <w:t>Sudoeste Informática</w:t>
            </w:r>
          </w:p>
        </w:tc>
      </w:tr>
      <w:tr>
        <w:tc>
          <w:tcPr>
            <w:tcW w:type="dxa" w:w="2412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20"/>
              </w:rPr>
              <w:t xml:space="preserve">19/10/2026</w:t>
            </w:r>
          </w:p>
        </w:tc>
        <w:tc>
          <w:tcPr>
            <w:tcW w:type="dxa" w:w="2412"/>
          </w:tcPr>
          <w:p>
            <w:pPr>
              <w:jc w:val="left"/>
            </w:pPr>
            <w:r/>
            <w:r>
              <w:rPr>
                <w:rFonts w:ascii="Arial" w:hAnsi="Arial"/>
                <w:sz w:val="20"/>
              </w:rPr>
              <w:t xml:space="preserve">Retirada das HUs sem funcionalidade no sistema, renumeração e reordenação das demais (retaguarda primeiro, portal depois)</w:t>
            </w:r>
          </w:p>
        </w:tc>
        <w:tc>
          <w:tcPr>
            <w:tcW w:type="dxa" w:w="2412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20"/>
              </w:rPr>
              <w:t xml:space="preserve">2.2</w:t>
            </w:r>
          </w:p>
        </w:tc>
        <w:tc>
          <w:tcPr>
            <w:tcW w:type="dxa" w:w="2412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20"/>
              </w:rPr>
              <w:t xml:space="preserve">Sudoeste Informática</w:t>
            </w:r>
          </w:p>
        </w:tc>
      </w:tr>
    </w:tbl>
    <w:p>
      <w:r>
        <w:br w:type="page"/>
      </w:r>
    </w:p>
    <w:p>
      <w:pPr>
        <w:jc w:val="center"/>
      </w:pPr>
      <w:r>
        <w:rPr>
          <w:rFonts w:ascii="Arial" w:hAnsi="Arial"/>
          <w:b/>
          <w:sz w:val="30"/>
        </w:rPr>
        <w:t>VISÃO GERAL</w:t>
      </w:r>
    </w:p>
    <w:p>
      <w:pPr>
        <w:jc w:val="both"/>
      </w:pPr>
      <w:r>
        <w:rPr>
          <w:rFonts w:ascii="Arial" w:hAnsi="Arial"/>
          <w:sz w:val="24"/>
        </w:rPr>
        <w:t>O administrador consulta e versiona o Quadro 11A da LOUOS, com as condições complementares por classe de via. A versão vigente não é editada no lugar. O rascunho segue o mesmo ciclo do Quadro 10: abrir ou retomar, incluir, alterar e excluir linha, importar arquivo, ver a diferença em relação à vigente, publicar com outra pessoa, descartar e reativar versão publicada. Classe de via citada no rascunho e inexistente ou inativa no cadastro de vias bloqueia a publicação. O Quadro 11 e o Quadro 11B não entram neste fluxo. Há um manual de montagem do arquivo desta planilha de texto.</w:t>
      </w:r>
    </w:p>
    <w:p/>
    <w:p>
      <w:pPr>
        <w:jc w:val="center"/>
      </w:pPr>
      <w:r>
        <w:rPr>
          <w:rFonts w:ascii="Arial" w:hAnsi="Arial"/>
          <w:b/>
          <w:sz w:val="30"/>
        </w:rPr>
        <w:t>SUMÁRIO</w:t>
      </w:r>
    </w:p>
    <w:p/>
    <w:p>
      <w:r>
        <w:rPr>
          <w:rFonts w:ascii="Arial" w:hAnsi="Arial"/>
          <w:sz w:val="22"/>
        </w:rPr>
        <w:t>ÉPICO: EP02 — Administração</w:t>
      </w:r>
    </w:p>
    <w:p>
      <w:r>
        <w:rPr>
          <w:rFonts w:ascii="Arial" w:hAnsi="Arial"/>
          <w:sz w:val="22"/>
        </w:rPr>
        <w:t>HISTÓRIA DE USUÁRIO: Manter Quadro 11A</w:t>
      </w:r>
    </w:p>
    <w:p>
      <w:r>
        <w:rPr>
          <w:rFonts w:ascii="Arial" w:hAnsi="Arial"/>
          <w:sz w:val="22"/>
        </w:rPr>
        <w:t>PRÉ-REQUISITOS</w:t>
      </w:r>
    </w:p>
    <w:p>
      <w:r>
        <w:rPr>
          <w:rFonts w:ascii="Arial" w:hAnsi="Arial"/>
          <w:sz w:val="22"/>
        </w:rPr>
        <w:t>DEPENDÊNCIAS</w:t>
      </w:r>
    </w:p>
    <w:p>
      <w:r>
        <w:rPr>
          <w:rFonts w:ascii="Arial" w:hAnsi="Arial"/>
          <w:sz w:val="22"/>
        </w:rPr>
        <w:t>INTERFACE DE USUÁRIO</w:t>
      </w:r>
    </w:p>
    <w:p>
      <w:r>
        <w:rPr>
          <w:rFonts w:ascii="Arial" w:hAnsi="Arial"/>
          <w:sz w:val="22"/>
        </w:rPr>
        <w:t xml:space="preserve">  TELA 1 - Quadro 11A</w:t>
      </w:r>
    </w:p>
    <w:p>
      <w:r>
        <w:rPr>
          <w:rFonts w:ascii="Arial" w:hAnsi="Arial"/>
          <w:sz w:val="22"/>
        </w:rPr>
        <w:t xml:space="preserve">  COMPORTAMENTO ESPERADO TELA 1</w:t>
      </w:r>
    </w:p>
    <w:p>
      <w:r>
        <w:br w:type="page"/>
      </w:r>
    </w:p>
    <w:p>
      <w:pPr>
        <w:pStyle w:val="Heading1"/>
      </w:pPr>
      <w:r>
        <w:t>ÉPICO: EP02 — Administração</w:t>
      </w:r>
    </w:p>
    <w:p>
      <w:pPr>
        <w:jc w:val="both"/>
      </w:pPr>
      <w:r>
        <w:rPr>
          <w:rFonts w:ascii="Arial" w:hAnsi="Arial"/>
          <w:b/>
          <w:sz w:val="24"/>
        </w:rPr>
        <w:t xml:space="preserve">Como </w:t>
      </w:r>
      <w:r>
        <w:rPr>
          <w:rFonts w:ascii="Arial" w:hAnsi="Arial"/>
          <w:b w:val="0"/>
          <w:sz w:val="24"/>
        </w:rPr>
        <w:t>a SEDUR</w:t>
      </w:r>
      <w:r>
        <w:rPr>
          <w:rFonts w:ascii="Arial" w:hAnsi="Arial"/>
          <w:b/>
          <w:sz w:val="24"/>
        </w:rPr>
        <w:t xml:space="preserve"> quero </w:t>
      </w:r>
      <w:r>
        <w:rPr>
          <w:rFonts w:ascii="Arial" w:hAnsi="Arial"/>
          <w:b w:val="0"/>
          <w:sz w:val="24"/>
        </w:rPr>
        <w:t>versionar as condições do Quadro 11A por classe de via</w:t>
      </w:r>
      <w:r>
        <w:rPr>
          <w:rFonts w:ascii="Arial" w:hAnsi="Arial"/>
          <w:b/>
          <w:sz w:val="24"/>
        </w:rPr>
        <w:t xml:space="preserve">, de modo que </w:t>
      </w:r>
      <w:r>
        <w:rPr>
          <w:rFonts w:ascii="Arial" w:hAnsi="Arial"/>
          <w:b w:val="0"/>
          <w:sz w:val="24"/>
        </w:rPr>
        <w:t>elas entrem em vigor como versão nova, sem alterar a vigente no lugar.</w:t>
      </w:r>
    </w:p>
    <w:p>
      <w:pPr>
        <w:pStyle w:val="Heading1"/>
      </w:pPr>
      <w:r>
        <w:t>HISTÓRIA DE USUÁRIO: Manter Quadro 11A</w:t>
      </w:r>
    </w:p>
    <w:p>
      <w:pPr>
        <w:jc w:val="both"/>
      </w:pPr>
      <w:r>
        <w:rPr>
          <w:rFonts w:ascii="Arial" w:hAnsi="Arial"/>
          <w:b/>
          <w:sz w:val="24"/>
        </w:rPr>
        <w:t xml:space="preserve">Como </w:t>
      </w:r>
      <w:r>
        <w:rPr>
          <w:rFonts w:ascii="Arial" w:hAnsi="Arial"/>
          <w:b w:val="0"/>
          <w:sz w:val="24"/>
        </w:rPr>
        <w:t>administrador</w:t>
      </w:r>
      <w:r>
        <w:rPr>
          <w:rFonts w:ascii="Arial" w:hAnsi="Arial"/>
          <w:b/>
          <w:sz w:val="24"/>
        </w:rPr>
        <w:t xml:space="preserve"> quero </w:t>
      </w:r>
      <w:r>
        <w:rPr>
          <w:rFonts w:ascii="Arial" w:hAnsi="Arial"/>
          <w:b w:val="0"/>
          <w:sz w:val="24"/>
        </w:rPr>
        <w:t>manter o rascunho do Quadro 11A e publicá-lo com outra pessoa</w:t>
      </w:r>
      <w:r>
        <w:rPr>
          <w:rFonts w:ascii="Arial" w:hAnsi="Arial"/>
          <w:b/>
          <w:sz w:val="24"/>
        </w:rPr>
        <w:t xml:space="preserve">, de modo que </w:t>
      </w:r>
      <w:r>
        <w:rPr>
          <w:rFonts w:ascii="Arial" w:hAnsi="Arial"/>
          <w:b w:val="0"/>
          <w:sz w:val="24"/>
        </w:rPr>
        <w:t>as condições por classe de via passem a valer na decisão.</w:t>
      </w:r>
    </w:p>
    <w:p>
      <w:pPr>
        <w:pStyle w:val="Heading1"/>
      </w:pPr>
      <w:r>
        <w:t>PRÉ-REQUISITOS</w:t>
      </w:r>
    </w:p>
    <w:p>
      <w:pPr>
        <w:jc w:val="both"/>
      </w:pPr>
      <w:r>
        <w:rPr>
          <w:rFonts w:ascii="Arial" w:hAnsi="Arial"/>
          <w:sz w:val="24"/>
        </w:rPr>
        <w:t>• Consulta: quem consulta as regras da LOUOS</w:t>
      </w:r>
    </w:p>
    <w:p>
      <w:pPr>
        <w:jc w:val="both"/>
      </w:pPr>
      <w:r>
        <w:rPr>
          <w:rFonts w:ascii="Arial" w:hAnsi="Arial"/>
          <w:sz w:val="24"/>
        </w:rPr>
        <w:t>• Escrita, importação e publicação: administrador que mantém o motor</w:t>
      </w:r>
    </w:p>
    <w:p>
      <w:pPr>
        <w:jc w:val="both"/>
      </w:pPr>
      <w:r>
        <w:rPr>
          <w:rFonts w:ascii="Arial" w:hAnsi="Arial"/>
          <w:sz w:val="24"/>
        </w:rPr>
        <w:t>• Classe de via obrigatória e ativa no cadastro de vias</w:t>
      </w:r>
    </w:p>
    <w:p>
      <w:pPr>
        <w:jc w:val="both"/>
      </w:pPr>
      <w:r>
        <w:rPr>
          <w:rFonts w:ascii="Arial" w:hAnsi="Arial"/>
          <w:sz w:val="24"/>
        </w:rPr>
        <w:t>• Quem publica não pode ser o autor do rascunho</w:t>
      </w:r>
    </w:p>
    <w:p>
      <w:pPr>
        <w:jc w:val="both"/>
      </w:pPr>
      <w:r>
        <w:rPr>
          <w:rFonts w:ascii="Arial" w:hAnsi="Arial"/>
          <w:sz w:val="24"/>
        </w:rPr>
        <w:t>• Arquivo CSV ou de texto, com até 5 MB, com classe de via, grupo de uso, condições e base legal</w:t>
      </w:r>
    </w:p>
    <w:p>
      <w:pPr>
        <w:pStyle w:val="Heading1"/>
      </w:pPr>
      <w:r>
        <w:t>DEPENDÊNCIAS</w:t>
      </w:r>
    </w:p>
    <w:p>
      <w:r>
        <w:rPr>
          <w:b/>
          <w:sz w:val="24"/>
        </w:rPr>
        <w:t>Passadas</w:t>
      </w:r>
    </w:p>
    <w:p>
      <w:pPr>
        <w:jc w:val="both"/>
      </w:pPr>
      <w:r>
        <w:rPr>
          <w:rFonts w:ascii="Arial" w:hAnsi="Arial"/>
          <w:sz w:val="24"/>
        </w:rPr>
        <w:t>• Cadastro de vias ativo, conferido na publicação</w:t>
      </w:r>
    </w:p>
    <w:p>
      <w:pPr>
        <w:jc w:val="both"/>
      </w:pPr>
      <w:r>
        <w:rPr>
          <w:rFonts w:ascii="Arial" w:hAnsi="Arial"/>
          <w:sz w:val="24"/>
        </w:rPr>
        <w:t xml:space="preserve">• HU-028 — o mesmo ciclo de rascunho e de publicação do Quadro 10</w:t>
      </w:r>
    </w:p>
    <w:p/>
    <w:p>
      <w:r>
        <w:rPr>
          <w:b/>
          <w:sz w:val="24"/>
        </w:rPr>
        <w:t>Futuras</w:t>
      </w:r>
    </w:p>
    <w:p>
      <w:pPr>
        <w:jc w:val="both"/>
      </w:pPr>
      <w:r>
        <w:rPr>
          <w:rFonts w:ascii="Arial" w:hAnsi="Arial"/>
          <w:sz w:val="24"/>
        </w:rPr>
        <w:t xml:space="preserve">• HU-048 — o motor lê a versão vigente do Quadro 11A</w:t>
      </w:r>
    </w:p>
    <w:p>
      <w:pPr>
        <w:pStyle w:val="Heading1"/>
      </w:pPr>
      <w:r>
        <w:t>INTERFACE DE USUÁRIO</w:t>
      </w:r>
    </w:p>
    <w:p>
      <w:pPr>
        <w:pStyle w:val="Heading2"/>
      </w:pPr>
      <w:r>
        <w:t>TELA 1 - Quadro 11A</w:t>
      </w:r>
    </w:p>
    <w:p>
      <w:r>
        <w:rPr>
          <w:b/>
          <w:sz w:val="22"/>
        </w:rPr>
        <w:t xml:space="preserve">Caminho no menu: </w:t>
      </w:r>
      <w:r>
        <w:rPr>
          <w:sz w:val="22"/>
        </w:rPr>
        <w:t>Regras &gt; Motor de regras &gt; Quadros</w:t>
      </w:r>
    </w:p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720" cy="360045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gestao-louos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600450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pStyle w:val="Heading3"/>
      </w:pPr>
      <w:r>
        <w:t>COMPORTAMENTO ESPERADO TELA 1</w:t>
      </w:r>
    </w:p>
    <w:p>
      <w:r>
        <w:rPr>
          <w:rFonts w:ascii="Arial" w:hAnsi="Arial"/>
          <w:b/>
          <w:sz w:val="22"/>
        </w:rPr>
        <w:t>Cenário 1: Lista vigente</w:t>
      </w:r>
    </w:p>
    <w:p>
      <w:r>
        <w:rPr>
          <w:rFonts w:ascii="Arial" w:hAnsi="Arial"/>
          <w:b/>
          <w:sz w:val="22"/>
        </w:rPr>
        <w:t xml:space="preserve">Dado que </w:t>
      </w:r>
      <w:r>
        <w:rPr>
          <w:rFonts w:ascii="Arial" w:hAnsi="Arial"/>
          <w:sz w:val="22"/>
        </w:rPr>
        <w:t>existe versão vigente do Quadro 11A e a pessoa consulta as regras da LOUOS</w:t>
      </w:r>
    </w:p>
    <w:p>
      <w:r>
        <w:rPr>
          <w:rFonts w:ascii="Arial" w:hAnsi="Arial"/>
          <w:b/>
          <w:sz w:val="22"/>
        </w:rPr>
        <w:t xml:space="preserve">Quando </w:t>
      </w:r>
      <w:r>
        <w:rPr>
          <w:rFonts w:ascii="Arial" w:hAnsi="Arial"/>
          <w:sz w:val="22"/>
        </w:rPr>
        <w:t>seleciona o Quadro 11A</w:t>
      </w:r>
    </w:p>
    <w:p>
      <w:r>
        <w:rPr>
          <w:rFonts w:ascii="Arial" w:hAnsi="Arial"/>
          <w:b/>
          <w:sz w:val="22"/>
        </w:rPr>
        <w:t xml:space="preserve">Então </w:t>
      </w:r>
      <w:r>
        <w:rPr>
          <w:rFonts w:ascii="Arial" w:hAnsi="Arial"/>
          <w:sz w:val="22"/>
        </w:rPr>
        <w:t>vê classe de via, grupo de uso, condições e base legal dessa versão</w:t>
      </w:r>
    </w:p>
    <w:p/>
    <w:p>
      <w:r>
        <w:rPr>
          <w:rFonts w:ascii="Arial" w:hAnsi="Arial"/>
          <w:b/>
          <w:sz w:val="22"/>
        </w:rPr>
        <w:t>Cenário 2: Rascunho isolado</w:t>
      </w:r>
    </w:p>
    <w:p>
      <w:r>
        <w:rPr>
          <w:rFonts w:ascii="Arial" w:hAnsi="Arial"/>
          <w:b/>
          <w:sz w:val="22"/>
        </w:rPr>
        <w:t xml:space="preserve">Dado que </w:t>
      </w:r>
      <w:r>
        <w:rPr>
          <w:rFonts w:ascii="Arial" w:hAnsi="Arial"/>
          <w:sz w:val="22"/>
        </w:rPr>
        <w:t>o administrador altera uma linha no rascunho</w:t>
      </w:r>
    </w:p>
    <w:p>
      <w:r>
        <w:rPr>
          <w:rFonts w:ascii="Arial" w:hAnsi="Arial"/>
          <w:b/>
          <w:sz w:val="22"/>
        </w:rPr>
        <w:t xml:space="preserve">Quando </w:t>
      </w:r>
      <w:r>
        <w:rPr>
          <w:rFonts w:ascii="Arial" w:hAnsi="Arial"/>
          <w:sz w:val="22"/>
        </w:rPr>
        <w:t>a alteração é gravada</w:t>
      </w:r>
    </w:p>
    <w:p>
      <w:r>
        <w:rPr>
          <w:rFonts w:ascii="Arial" w:hAnsi="Arial"/>
          <w:b/>
          <w:sz w:val="22"/>
        </w:rPr>
        <w:t xml:space="preserve">Então </w:t>
      </w:r>
      <w:r>
        <w:rPr>
          <w:rFonts w:ascii="Arial" w:hAnsi="Arial"/>
          <w:sz w:val="22"/>
        </w:rPr>
        <w:t>a versão vigente permanece até a publicação</w:t>
      </w:r>
    </w:p>
    <w:p/>
    <w:p>
      <w:r>
        <w:rPr>
          <w:rFonts w:ascii="Arial" w:hAnsi="Arial"/>
          <w:b/>
          <w:sz w:val="22"/>
        </w:rPr>
        <w:t>Cenário 3: Via não cadastrada</w:t>
      </w:r>
    </w:p>
    <w:p>
      <w:r>
        <w:rPr>
          <w:rFonts w:ascii="Arial" w:hAnsi="Arial"/>
          <w:b/>
          <w:sz w:val="22"/>
        </w:rPr>
        <w:t xml:space="preserve">Dado que </w:t>
      </w:r>
      <w:r>
        <w:rPr>
          <w:rFonts w:ascii="Arial" w:hAnsi="Arial"/>
          <w:sz w:val="22"/>
        </w:rPr>
        <w:t>o rascunho cita classe de via inativa ou inexistente</w:t>
      </w:r>
    </w:p>
    <w:p>
      <w:r>
        <w:rPr>
          <w:rFonts w:ascii="Arial" w:hAnsi="Arial"/>
          <w:b/>
          <w:sz w:val="22"/>
        </w:rPr>
        <w:t xml:space="preserve">Quando </w:t>
      </w:r>
      <w:r>
        <w:rPr>
          <w:rFonts w:ascii="Arial" w:hAnsi="Arial"/>
          <w:sz w:val="22"/>
        </w:rPr>
        <w:t>outra pessoa publica</w:t>
      </w:r>
    </w:p>
    <w:p>
      <w:r>
        <w:rPr>
          <w:rFonts w:ascii="Arial" w:hAnsi="Arial"/>
          <w:b/>
          <w:sz w:val="22"/>
        </w:rPr>
        <w:t xml:space="preserve">Então </w:t>
      </w:r>
      <w:r>
        <w:rPr>
          <w:rFonts w:ascii="Arial" w:hAnsi="Arial"/>
          <w:sz w:val="22"/>
        </w:rPr>
        <w:t>a publicação é recusada e a vigente não muda</w:t>
      </w:r>
    </w:p>
    <w:p/>
    <w:p>
      <w:r>
        <w:rPr>
          <w:rFonts w:ascii="Arial" w:hAnsi="Arial"/>
          <w:b/>
          <w:sz w:val="22"/>
        </w:rPr>
        <w:t>Cenário 4: Autor não publica</w:t>
      </w:r>
    </w:p>
    <w:p>
      <w:r>
        <w:rPr>
          <w:rFonts w:ascii="Arial" w:hAnsi="Arial"/>
          <w:b/>
          <w:sz w:val="22"/>
        </w:rPr>
        <w:t xml:space="preserve">Dado que </w:t>
      </w:r>
      <w:r>
        <w:rPr>
          <w:rFonts w:ascii="Arial" w:hAnsi="Arial"/>
          <w:sz w:val="22"/>
        </w:rPr>
        <w:t>o usuário é o autor do rascunho</w:t>
      </w:r>
    </w:p>
    <w:p>
      <w:r>
        <w:rPr>
          <w:rFonts w:ascii="Arial" w:hAnsi="Arial"/>
          <w:b/>
          <w:sz w:val="22"/>
        </w:rPr>
        <w:t xml:space="preserve">Quando </w:t>
      </w:r>
      <w:r>
        <w:rPr>
          <w:rFonts w:ascii="Arial" w:hAnsi="Arial"/>
          <w:sz w:val="22"/>
        </w:rPr>
        <w:t>ele mesmo tenta publicar</w:t>
      </w:r>
    </w:p>
    <w:p>
      <w:r>
        <w:rPr>
          <w:rFonts w:ascii="Arial" w:hAnsi="Arial"/>
          <w:b/>
          <w:sz w:val="22"/>
        </w:rPr>
        <w:t xml:space="preserve">Então </w:t>
      </w:r>
      <w:r>
        <w:rPr>
          <w:rFonts w:ascii="Arial" w:hAnsi="Arial"/>
          <w:sz w:val="22"/>
        </w:rPr>
        <w:t>a publicação é recusada</w:t>
      </w:r>
    </w:p>
    <w:p/>
    <w:sectPr w:rsidR="00FC693F" w:rsidRPr="0006063C" w:rsidSect="00034616">
      <w:headerReference w:type="default" r:id="rId9"/>
      <w:footerReference w:type="default" r:id="rId10"/>
      <w:pgSz w:w="12240" w:h="15840"/>
      <w:pgMar w:top="1728" w:right="1296" w:bottom="1296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  <w:spacing w:after="0" w:before="0" w:line="240" w:lineRule="auto"/>
    </w:pPr>
    <w:r>
      <w:drawing>
        <wp:inline xmlns:a="http://schemas.openxmlformats.org/drawingml/2006/main" xmlns:pic="http://schemas.openxmlformats.org/drawingml/2006/picture">
          <wp:extent cx="6126480" cy="219456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footer_bar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6126480" cy="219456"/>
                  </a:xfrm>
                  <a:prstGeom prst="rect"/>
                </pic:spPr>
              </pic:pic>
            </a:graphicData>
          </a:graphic>
        </wp:inline>
      </w:drawing>
    </w:r>
  </w:p>
  <w:p>
    <w:pPr>
      <w:jc w:val="right"/>
      <w:spacing w:after="0" w:before="0" w:line="240" w:lineRule="auto"/>
    </w:pPr>
    <w:r>
      <w:rPr>
        <w:sz w:val="16"/>
      </w:rPr>
      <w:t xml:space="preserve">Página </w:t>
    </w:r>
    <w:r>
      <w:fldChar w:fldCharType="begin"/>
      <w:instrText xml:space="preserve"> PAGE </w:instrText>
      <w:fldChar w:fldCharType="separate"/>
      <w:fldChar w:fldCharType="end"/>
    </w:r>
    <w:r>
      <w:rPr>
        <w:sz w:val="16"/>
      </w:rPr>
      <w:t xml:space="preserve"> de </w:t>
    </w:r>
    <w:r>
      <w:fldChar w:fldCharType="begin"/>
      <w:instrText xml:space="preserve"> NUMPAGES </w:instrText>
      <w:fldChar w:fldCharType="separate"/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  <w:spacing w:after="0" w:before="0" w:line="240" w:lineRule="auto"/>
    </w:pPr>
    <w:r>
      <w:drawing>
        <wp:inline xmlns:a="http://schemas.openxmlformats.org/drawingml/2006/main" xmlns:pic="http://schemas.openxmlformats.org/drawingml/2006/picture">
          <wp:extent cx="6126480" cy="914400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logo_sudoeste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6126480" cy="914400"/>
                  </a:xfrm>
                  <a:prstGeom prst="rect"/>
                </pic:spPr>
              </pic:pic>
            </a:graphicData>
          </a:graphic>
        </wp:inline>
      </w:drawing>
    </w:r>
  </w:p>
  <w:p>
    <w:pPr>
      <w:spacing w:after="0" w:before="0" w:line="240" w:lineRule="auto"/>
    </w:pPr>
    <w:r>
      <w:rPr>
        <w:rFonts w:ascii="Arial" w:hAnsi="Arial"/>
        <w:sz w:val="16"/>
      </w:rPr>
      <w:t xml:space="preserve">HU.029 - MANTER QUADRO 11A - Versão 2.2 – 19/10/2026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22" Type="http://schemas.openxmlformats.org/officeDocument/2006/relationships/image" Target="media/image14.png"/></Relationships>
</file>

<file path=word/_rels/footer1.xml.rels><?xml version='1.0' encoding='UTF-8' standalone='yes'?>
<Relationships xmlns="http://schemas.openxmlformats.org/package/2006/relationships"><Relationship Id="rId1" Type="http://schemas.openxmlformats.org/officeDocument/2006/relationships/image" Target="media/image2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